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79" w:rsidRDefault="003512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1279" w:rsidRDefault="00351279">
      <w:pPr>
        <w:pStyle w:val="ConsPlusNormal"/>
        <w:jc w:val="both"/>
        <w:outlineLvl w:val="0"/>
      </w:pPr>
    </w:p>
    <w:p w:rsidR="00351279" w:rsidRDefault="00351279">
      <w:pPr>
        <w:pStyle w:val="ConsPlusTitle"/>
        <w:jc w:val="center"/>
        <w:outlineLvl w:val="0"/>
      </w:pPr>
      <w:r>
        <w:t>ИСПОЛНИТЕЛЬНЫЙ КОМИТЕТ МУНИЦИПАЛЬНОГО ОБРАЗОВАНИЯ</w:t>
      </w:r>
    </w:p>
    <w:p w:rsidR="00351279" w:rsidRDefault="00351279">
      <w:pPr>
        <w:pStyle w:val="ConsPlusTitle"/>
        <w:jc w:val="center"/>
      </w:pPr>
      <w:r>
        <w:t>ГОРОД НАБЕРЕЖНЫЕ ЧЕЛНЫ РЕСПУБЛИКИ ТАТАРСТАН</w:t>
      </w:r>
    </w:p>
    <w:p w:rsidR="00351279" w:rsidRDefault="00351279">
      <w:pPr>
        <w:pStyle w:val="ConsPlusTitle"/>
        <w:jc w:val="center"/>
      </w:pPr>
    </w:p>
    <w:p w:rsidR="00351279" w:rsidRDefault="00351279">
      <w:pPr>
        <w:pStyle w:val="ConsPlusTitle"/>
        <w:jc w:val="center"/>
      </w:pPr>
      <w:r>
        <w:t>РАСПОРЯЖЕНИЕ</w:t>
      </w:r>
    </w:p>
    <w:p w:rsidR="00351279" w:rsidRDefault="00351279">
      <w:pPr>
        <w:pStyle w:val="ConsPlusTitle"/>
        <w:jc w:val="center"/>
      </w:pPr>
      <w:r>
        <w:t>от 26 марта 2015 г. N 133-р</w:t>
      </w:r>
    </w:p>
    <w:p w:rsidR="00351279" w:rsidRDefault="00351279">
      <w:pPr>
        <w:pStyle w:val="ConsPlusTitle"/>
        <w:jc w:val="center"/>
      </w:pPr>
    </w:p>
    <w:p w:rsidR="00351279" w:rsidRDefault="00351279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351279" w:rsidRDefault="00351279">
      <w:pPr>
        <w:pStyle w:val="ConsPlusTitle"/>
        <w:jc w:val="center"/>
      </w:pPr>
      <w:r>
        <w:t>ЭКСПЕРТИЗЫ НОРМАТИВНЫХ ПРАВОВЫХ АКТОВ И ПРОЕКТОВ</w:t>
      </w:r>
    </w:p>
    <w:p w:rsidR="00351279" w:rsidRDefault="00351279">
      <w:pPr>
        <w:pStyle w:val="ConsPlusTitle"/>
        <w:jc w:val="center"/>
      </w:pPr>
      <w:r>
        <w:t>НОРМАТИВНЫХ ПРАВОВЫХ АКТОВ ИСПОЛНИТЕЛЬНОГО КОМИТЕТА</w:t>
      </w:r>
    </w:p>
    <w:p w:rsidR="00351279" w:rsidRDefault="00351279">
      <w:pPr>
        <w:pStyle w:val="ConsPlusTitle"/>
        <w:jc w:val="center"/>
      </w:pPr>
      <w:r>
        <w:t>ГОРОДА НАБЕРЕЖНЫЕ ЧЕЛНЫ</w:t>
      </w:r>
    </w:p>
    <w:p w:rsidR="00351279" w:rsidRDefault="00351279">
      <w:pPr>
        <w:pStyle w:val="ConsPlusNormal"/>
        <w:jc w:val="center"/>
      </w:pPr>
    </w:p>
    <w:p w:rsidR="00351279" w:rsidRDefault="00351279">
      <w:pPr>
        <w:pStyle w:val="ConsPlusNormal"/>
        <w:jc w:val="center"/>
      </w:pPr>
      <w:r>
        <w:t>Список изменяющих документов</w:t>
      </w:r>
    </w:p>
    <w:p w:rsidR="00351279" w:rsidRDefault="00351279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Исполкома муниципального образования</w:t>
      </w:r>
      <w:proofErr w:type="gramEnd"/>
    </w:p>
    <w:p w:rsidR="00351279" w:rsidRDefault="00351279">
      <w:pPr>
        <w:pStyle w:val="ConsPlusNormal"/>
        <w:jc w:val="center"/>
      </w:pPr>
      <w:r>
        <w:t>"г. Набережные Челны" от 21.01.2016 N 32-р)</w:t>
      </w:r>
    </w:p>
    <w:p w:rsidR="00351279" w:rsidRDefault="00351279">
      <w:pPr>
        <w:pStyle w:val="ConsPlusNormal"/>
        <w:jc w:val="center"/>
      </w:pPr>
    </w:p>
    <w:p w:rsidR="00351279" w:rsidRDefault="0035127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3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color w:val="0000FF"/>
          </w:rPr>
          <w:t>статьей 53</w:t>
        </w:r>
      </w:hyperlink>
      <w:r>
        <w:t xml:space="preserve"> Устава города,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системе муниципальных правовых актов, утвержденным решением Городского Совета от 21.02.2007 N 19/8:</w:t>
      </w:r>
      <w:proofErr w:type="gramEnd"/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Исполнительного комитета города Набережные Челны согласно приложению.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Исполнительного комитета от 22.09.2009 N 623 "Об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Исполнительного комитета города Набережные Челны";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Исполнительного комитета от 14.12.2009 N 847 "О внесении изменений в распоряжение Исполнительного комитета от 22.09.2009 N 623 "Об утверждении порядка проведения антикоррупционной </w:t>
      </w:r>
      <w:r>
        <w:lastRenderedPageBreak/>
        <w:t>экспертизы муниципальных нормативных правовых актов и проектов муниципальных нормативных правовых актов Исполнительного комитета города Набережные Челны";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Исполнительного комитета от 26.11.2010 N 942 "О внесении изменений в распоряжение Исполнительного комитета от 22.09.2009 N 623 "Об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Исполнительного комитета города Набережные Челны";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Исполнительного комитета от 29.07.2013 N 520-р "О внесении изменения в распоряжение Исполнительного комитета от 22.09.2009 N 623 "Об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Исполнительного комитета города Набережные Челны".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3. Контроль за исполнением настоящего распоряжения возложить на </w:t>
      </w:r>
      <w:proofErr w:type="gramStart"/>
      <w:r>
        <w:t>и.о. Руководителя</w:t>
      </w:r>
      <w:proofErr w:type="gramEnd"/>
      <w:r>
        <w:t xml:space="preserve"> Аппарата Исполнительного комитета Галиеву Н.И.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jc w:val="right"/>
      </w:pPr>
      <w:r>
        <w:t>Руководитель Исполнительного комитета</w:t>
      </w:r>
    </w:p>
    <w:p w:rsidR="00351279" w:rsidRDefault="00351279">
      <w:pPr>
        <w:pStyle w:val="ConsPlusNormal"/>
        <w:jc w:val="right"/>
      </w:pPr>
      <w:r>
        <w:t>Н.Г.МАГДЕЕВ</w:t>
      </w:r>
    </w:p>
    <w:p w:rsidR="00351279" w:rsidRDefault="00351279">
      <w:pPr>
        <w:pStyle w:val="ConsPlusNormal"/>
        <w:ind w:firstLine="540"/>
        <w:jc w:val="both"/>
      </w:pPr>
    </w:p>
    <w:p w:rsidR="00351279" w:rsidRDefault="00351279">
      <w:pPr>
        <w:pStyle w:val="ConsPlusNormal"/>
        <w:ind w:firstLine="540"/>
        <w:jc w:val="both"/>
      </w:pPr>
    </w:p>
    <w:p w:rsidR="00351279" w:rsidRDefault="00351279">
      <w:pPr>
        <w:pStyle w:val="ConsPlusNormal"/>
        <w:ind w:firstLine="540"/>
        <w:jc w:val="both"/>
      </w:pP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jc w:val="right"/>
        <w:outlineLvl w:val="0"/>
      </w:pPr>
      <w:r>
        <w:t>Приложение</w:t>
      </w:r>
    </w:p>
    <w:p w:rsidR="00351279" w:rsidRDefault="00351279">
      <w:pPr>
        <w:pStyle w:val="ConsPlusNormal"/>
        <w:jc w:val="right"/>
      </w:pPr>
      <w:r>
        <w:t>к распоряжению</w:t>
      </w:r>
    </w:p>
    <w:p w:rsidR="00351279" w:rsidRDefault="00351279">
      <w:pPr>
        <w:pStyle w:val="ConsPlusNormal"/>
        <w:jc w:val="right"/>
      </w:pPr>
      <w:r>
        <w:t>Исполнительного комитета</w:t>
      </w:r>
    </w:p>
    <w:p w:rsidR="00351279" w:rsidRDefault="00351279">
      <w:pPr>
        <w:pStyle w:val="ConsPlusNormal"/>
        <w:jc w:val="right"/>
      </w:pPr>
      <w:r>
        <w:t>от 26 марта 2015 г. N 133-р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Title"/>
        <w:jc w:val="center"/>
      </w:pPr>
      <w:bookmarkStart w:id="0" w:name="P38"/>
      <w:bookmarkEnd w:id="0"/>
      <w:r>
        <w:t>ПОРЯДОК</w:t>
      </w:r>
    </w:p>
    <w:p w:rsidR="00351279" w:rsidRDefault="0035127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351279" w:rsidRDefault="00351279">
      <w:pPr>
        <w:pStyle w:val="ConsPlusTitle"/>
        <w:jc w:val="center"/>
      </w:pPr>
      <w:r>
        <w:t xml:space="preserve">АКТОВ И ПРОЕКТОВ НОРМАТИВНЫХ ПРАВОВЫХ АКТОВ </w:t>
      </w:r>
      <w:proofErr w:type="gramStart"/>
      <w:r>
        <w:t>ИСПОЛНИТЕЛЬНОГО</w:t>
      </w:r>
      <w:proofErr w:type="gramEnd"/>
    </w:p>
    <w:p w:rsidR="00351279" w:rsidRDefault="00351279">
      <w:pPr>
        <w:pStyle w:val="ConsPlusTitle"/>
        <w:jc w:val="center"/>
      </w:pPr>
      <w:r>
        <w:t>КОМИТЕТА ГОРОДА НАБЕРЕЖНЫЕ ЧЕЛНЫ</w:t>
      </w:r>
    </w:p>
    <w:p w:rsidR="00351279" w:rsidRDefault="00351279">
      <w:pPr>
        <w:pStyle w:val="ConsPlusNormal"/>
        <w:jc w:val="center"/>
      </w:pPr>
    </w:p>
    <w:p w:rsidR="00351279" w:rsidRDefault="00351279">
      <w:pPr>
        <w:pStyle w:val="ConsPlusNormal"/>
        <w:jc w:val="center"/>
      </w:pPr>
      <w:r>
        <w:t>Список изменяющих документов</w:t>
      </w:r>
    </w:p>
    <w:p w:rsidR="00351279" w:rsidRDefault="00351279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Исполкома муниципального образования</w:t>
      </w:r>
      <w:proofErr w:type="gramEnd"/>
    </w:p>
    <w:p w:rsidR="00351279" w:rsidRDefault="00351279">
      <w:pPr>
        <w:pStyle w:val="ConsPlusNormal"/>
        <w:jc w:val="center"/>
      </w:pPr>
      <w:r>
        <w:t>"г. Набережные Челны" от 21.01.2016 N 32-р)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jc w:val="center"/>
        <w:outlineLvl w:val="1"/>
      </w:pPr>
      <w:r>
        <w:t>Глава 1. ОБЩИЕ ПОЛОЖЕНИЯ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Антикоррупционная экспертиза нормативных правовых актов и проектов нормативных правовых актов Исполнительного комитета (далее антикоррупционная экспертиза) проводится правовым управлением Исполнительного комитета (далее - правовое управление) в целях выявления в них коррупциогенных факторов и их последующего устранения.</w:t>
      </w:r>
      <w:proofErr w:type="gramEnd"/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2. Настоящий Порядок применяется в </w:t>
      </w:r>
      <w:proofErr w:type="gramStart"/>
      <w:r>
        <w:t>отношении</w:t>
      </w:r>
      <w:proofErr w:type="gramEnd"/>
      <w:r>
        <w:t xml:space="preserve"> правовых актов и проектов правовых актов Исполнительного комитета, отвечающих следующим признакам нормативного правового акта (далее - акты и проекты актов):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1) издание акта в установленном </w:t>
      </w:r>
      <w:proofErr w:type="gramStart"/>
      <w:r>
        <w:t>порядке</w:t>
      </w:r>
      <w:proofErr w:type="gramEnd"/>
      <w:r>
        <w:t>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2) наличие в </w:t>
      </w:r>
      <w:proofErr w:type="gramStart"/>
      <w:r>
        <w:t>акте</w:t>
      </w:r>
      <w:proofErr w:type="gramEnd"/>
      <w:r>
        <w:t xml:space="preserve"> правовых норм (правил поведения), обязательных для неопределенного круга лиц;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3) указанные правила поведения рассчитаны на неоднократное применение;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4) указанные правила поведения направлены на урегулирование общественных отношений либо на изменение или прекращение существующих правоотношений.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3. Антикоррупционная экспертиза проводится в </w:t>
      </w:r>
      <w:proofErr w:type="gramStart"/>
      <w:r>
        <w:t>соответствии</w:t>
      </w:r>
      <w:proofErr w:type="gramEnd"/>
      <w:r>
        <w:t xml:space="preserve">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jc w:val="center"/>
        <w:outlineLvl w:val="1"/>
      </w:pPr>
      <w:r>
        <w:t>Глава 2. ПРОВЕДЕНИЕ АНТИКОРРУПЦИОННОЙ ЭКСПЕРТИЗЫ</w:t>
      </w:r>
    </w:p>
    <w:p w:rsidR="00351279" w:rsidRDefault="00351279">
      <w:pPr>
        <w:pStyle w:val="ConsPlusNormal"/>
        <w:jc w:val="center"/>
      </w:pPr>
      <w:r>
        <w:t>ПРОЕКТОВ АКТОВ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ind w:firstLine="540"/>
        <w:jc w:val="both"/>
      </w:pPr>
      <w:r>
        <w:t>4. Отбор проектов актов, подлежащих антикоррупционной экспертизе, и антикоррупционная экспертиза проектов актов проводятся в процессе осуществления правовой экспертизы проектов актов.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5. Срок проведения антикоррупционной экспертизы проектов актов составляет не более трех дней со дня их поступления в правовое управление.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6. Ответственным должностным лицом за проведение антикоррупционной экспертизы является начальник правового управления.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7. Результаты антикоррупционной экспертизы проектов актов отражаются в </w:t>
      </w:r>
      <w:proofErr w:type="gramStart"/>
      <w:r>
        <w:t>заключении</w:t>
      </w:r>
      <w:proofErr w:type="gramEnd"/>
      <w:r>
        <w:t xml:space="preserve"> по результатам правовой экспертизы и оформляются следующим образом: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1) в </w:t>
      </w:r>
      <w:proofErr w:type="gramStart"/>
      <w:r>
        <w:t>случае</w:t>
      </w:r>
      <w:proofErr w:type="gramEnd"/>
      <w:r>
        <w:t xml:space="preserve"> если проект не вызывает замечаний правового характера и коррупциогенные факторы не выявлены, проект акта в установленном порядке визируется начальником правового управления, а в заключении по результатам правовой экспертизы отражаются сведения об отсутствии коррупциогенных факторов;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2) в </w:t>
      </w:r>
      <w:proofErr w:type="gramStart"/>
      <w:r>
        <w:t>случае</w:t>
      </w:r>
      <w:proofErr w:type="gramEnd"/>
      <w:r>
        <w:t xml:space="preserve"> если к проекту имеются замечания правового характера, но коррупциогенные факторы не выявлены, проект не визируется (не согласовывается), а в заключении по результатам правовой экспертизы отражаются сведения об отсутствии коррупциогенных факторов;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3) в </w:t>
      </w:r>
      <w:proofErr w:type="gramStart"/>
      <w:r>
        <w:t>случае</w:t>
      </w:r>
      <w:proofErr w:type="gramEnd"/>
      <w:r>
        <w:t xml:space="preserve"> если к проекту имеются замечания правового характера и установлено наличие коррупциогенных факторов, проект не визируется (не согласовывается), а результаты антикоррупционной экспертизы оформляются в соответствии с методикой;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4) в </w:t>
      </w:r>
      <w:proofErr w:type="gramStart"/>
      <w:r>
        <w:t>случае</w:t>
      </w:r>
      <w:proofErr w:type="gramEnd"/>
      <w:r>
        <w:t xml:space="preserve"> если проект не вызывает замечаний правового характера, но установлено наличие коррупциогенных факторов, проект не визируется (не согласовывается), а результаты антикоррупционной экспертизы фиксируются в заключении по результатам правовой экспертизы в соответствии с методикой.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8. Заключения по результатам антикоррупционной экспертизы подписываются проводившим экспертизу сотрудником правового управления (далее - эксперт) и начальником правового управления.</w:t>
      </w:r>
    </w:p>
    <w:p w:rsidR="00351279" w:rsidRDefault="00351279">
      <w:pPr>
        <w:pStyle w:val="ConsPlusNormal"/>
        <w:spacing w:before="280"/>
        <w:ind w:firstLine="540"/>
        <w:jc w:val="both"/>
      </w:pPr>
      <w:bookmarkStart w:id="1" w:name="P69"/>
      <w:bookmarkEnd w:id="1"/>
      <w:r>
        <w:t>9. В заключении отражаются следующие сведения: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1) наименование, вид и реквизиты проекта акта (акта), представленного на экспертизу;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2) основание для проведения антикоррупционной экспертизы;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3) вывод по результатам оценки проекта акта (акта) на коррупциогенность (</w:t>
      </w:r>
      <w:proofErr w:type="gramStart"/>
      <w:r>
        <w:t>выявлены</w:t>
      </w:r>
      <w:proofErr w:type="gramEnd"/>
      <w:r>
        <w:t>/не выявлены коррупциогенные факторы);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4) конкретные положения проекта акта (нормы акта), содержащие коррупциогенные факторы;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5) описание обнаруженных в </w:t>
      </w:r>
      <w:proofErr w:type="gramStart"/>
      <w:r>
        <w:t>положениях</w:t>
      </w:r>
      <w:proofErr w:type="gramEnd"/>
      <w:r>
        <w:t xml:space="preserve"> проекта акта (нормах акта) коррупциогенных факторов со ссылкой на положения методики;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6) рекомендации по устранению выявленных коррупциогенных факторов и устранению (коррекции) норм, их содержащих.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10.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лицом, ответственным за разработку акта (далее - разработчик).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11. Проекты актов, в которых выявлены коррупциогенные факторы, могут быть вынесены на рассмотрение Руководителя Исполнительного комитета после устранения выявленных коррупциогенных факторов.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jc w:val="center"/>
        <w:outlineLvl w:val="1"/>
      </w:pPr>
      <w:r>
        <w:t>Глава 3. ПРОВЕДЕНИЕ АНТИКОРРУПЦИОННОЙ ЭКСПЕРТИЗЫ АКТОВ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ind w:firstLine="540"/>
        <w:jc w:val="both"/>
      </w:pPr>
      <w:r>
        <w:t xml:space="preserve">12. Антикоррупционная экспертиза актов проводится в </w:t>
      </w:r>
      <w:proofErr w:type="gramStart"/>
      <w:r>
        <w:t>процессе</w:t>
      </w:r>
      <w:proofErr w:type="gramEnd"/>
      <w:r>
        <w:t xml:space="preserve"> их мониторинга.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13. По результатам антикоррупционной экспертизы актов экспертом составляется заключение, которое отражает сведения, указанные в </w:t>
      </w:r>
      <w:hyperlink w:anchor="P6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9</w:t>
        </w:r>
      </w:hyperlink>
      <w:r>
        <w:t xml:space="preserve"> настоящего Порядка.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14. Заключение о наличии коррупциогенных факторов направляется лицу, </w:t>
      </w:r>
      <w:proofErr w:type="gramStart"/>
      <w:r>
        <w:t>по</w:t>
      </w:r>
      <w:proofErr w:type="gramEnd"/>
      <w:r>
        <w:t xml:space="preserve"> чьей инициативе данный акт был внесен на рассмотрение Руководителя Исполнительного комитета (далее - инициатор), для подготовки правового акта о внесении изменений в данный акт либо о признании данного акта утратившим силу.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jc w:val="center"/>
        <w:outlineLvl w:val="1"/>
      </w:pPr>
      <w:r>
        <w:t>Глава 4. ПОЛНОМОЧИЯ ЭКСПЕРТОВ, РАЗРАБОТЧИКОВ И ИНИЦИАТОРОВ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ind w:firstLine="540"/>
        <w:jc w:val="both"/>
      </w:pPr>
      <w:r>
        <w:t>15. Эксперты: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1) запрашивают и получают дополнительные материалы и информацию у разработчиков, должностных лиц органов местного самоуправления города Набережные Челны;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2) взаимодействуют со специалистами Министерства юстиции Республики Татарстан в рамках Соглашения о взаимодействии по вопросам проведения антикоррупционной экспертизы муниципальных нормативных правовых актов и их проектов между Министерством юстиции Республики Татарстан и муниципальным образованием город Набережные Челны.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16. Начальник правового управления: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1) координирует работу экспертов по осуществлению антикоррупционной экспертизы;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2) информирует Руководителя Исполнительного комитета о фактах выявления коррупциогенных факторов;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3) отклоняет от согласования проекты, в которых выявлены коррупциогенные факторы;</w:t>
      </w:r>
    </w:p>
    <w:p w:rsidR="00351279" w:rsidRDefault="00351279">
      <w:pPr>
        <w:pStyle w:val="ConsPlusNormal"/>
        <w:spacing w:before="280"/>
        <w:ind w:firstLine="540"/>
        <w:jc w:val="both"/>
      </w:pPr>
      <w:proofErr w:type="gramStart"/>
      <w:r>
        <w:t>4) проводит совещания с разработчиками, инициаторами, иными должностными лицами Исполнительного комитета по вопросам, связанным с проведением антикоррупционной экспертизы;</w:t>
      </w:r>
      <w:proofErr w:type="gramEnd"/>
    </w:p>
    <w:p w:rsidR="00351279" w:rsidRDefault="00351279">
      <w:pPr>
        <w:pStyle w:val="ConsPlusNormal"/>
        <w:spacing w:before="280"/>
        <w:ind w:firstLine="540"/>
        <w:jc w:val="both"/>
      </w:pPr>
      <w:r>
        <w:t>5) взаимодействует с Министерством юстиции Республики Татарстан, органами прокуратуры по вопросам, связанным с проведением антикоррупционной экспертизы.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17. Разработчик: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1) направляет проекты актов на антикоррупционную экспертизу;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2) представляет экспертам запрашиваемую информацию в трехдневный срок со дня получения запроса;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3) знакомится с результатами антикоррупционной экспертизы;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4) получает разъяснения по результатам антикоррупционной экспертизы;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5) в течение трех дней со дня получения заключения дорабатывает проект с целью устранения выявленных коррупциогенных факторов;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6) направляет доработанный акт эксперту для повторной антикоррупционной экспертизы;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7) заявляет о несогласии с результатами антикоррупционной экспертизы, излагает и аргументирует свою позицию в процессе урегулирования разногласий.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18. Инициатор: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1) знакомится с результатами антикоррупционной экспертизы;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2) получает разъяснения по результатам проведенной антикоррупционной экспертизы;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3) в течение трех дней со дня получения заключения готовит правовой акт о внесении изменений в акт, в котором выявлены коррупциогенные факторы, либо признании данного акта </w:t>
      </w:r>
      <w:proofErr w:type="gramStart"/>
      <w:r>
        <w:t>утратившим</w:t>
      </w:r>
      <w:proofErr w:type="gramEnd"/>
      <w:r>
        <w:t xml:space="preserve"> силу и вносит его на рассмотрение соответствующего органа;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4) заявляет о несогласии с результатами антикоррупционной экспертизы, излагает и аргументирует свою позицию в процессе урегулирования разногласий.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jc w:val="center"/>
        <w:outlineLvl w:val="1"/>
      </w:pPr>
      <w:r>
        <w:t>Глава 5. ИНФОРМАЦИЯ О РЕЗУЛЬТАТАХ</w:t>
      </w:r>
    </w:p>
    <w:p w:rsidR="00351279" w:rsidRDefault="00351279">
      <w:pPr>
        <w:pStyle w:val="ConsPlusNormal"/>
        <w:jc w:val="center"/>
      </w:pPr>
      <w:r>
        <w:t>АНТИКОРРУПЦИОННОЙ ЭКСПЕРТИЗЫ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ind w:firstLine="540"/>
        <w:jc w:val="both"/>
      </w:pPr>
      <w:r>
        <w:t>19. Результаты антикоррупционной экспертизы обобщаются отделом аналитической работы правового управления и отражаются в сводной таблице.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20. Сводная таблица в </w:t>
      </w:r>
      <w:proofErr w:type="gramStart"/>
      <w:r>
        <w:t>отношении</w:t>
      </w:r>
      <w:proofErr w:type="gramEnd"/>
      <w:r>
        <w:t xml:space="preserve"> актов и проектов актов включает в себя: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1) наименование акта (проекта акта);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2) дату поступления акта на антикоррупционную экспертизу;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3) сведения об инициаторе (разработчике);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4) фамилию эксперта, проводившего антикоррупционную экспертизу;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5) результаты антикоррупционной экспертизы (в </w:t>
      </w:r>
      <w:proofErr w:type="gramStart"/>
      <w:r>
        <w:t>случае</w:t>
      </w:r>
      <w:proofErr w:type="gramEnd"/>
      <w:r>
        <w:t xml:space="preserve"> выявления коррупциогенных факторов - их количество и краткую характеристику);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6) дату направления заключения для подготовки акта о внесении изменений (передачи проекта на доработку);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7) сведения о внесении и принятии акта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21. Сведения об актах (проектах актов), поступивших на антикоррупционную экспертизу, отражаются в журнале учета нормативных правовых актов и проектов нормативных правовых актов, поступивших на антикоррупционную экспертизу.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22. Заключения по результатам антикоррупционной экспертизы хранятся в </w:t>
      </w:r>
      <w:proofErr w:type="gramStart"/>
      <w:r>
        <w:t>отделе</w:t>
      </w:r>
      <w:proofErr w:type="gramEnd"/>
      <w:r>
        <w:t xml:space="preserve"> аналитической работы правового управления.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jc w:val="center"/>
        <w:outlineLvl w:val="1"/>
      </w:pPr>
      <w:r>
        <w:t xml:space="preserve">Глава 6. ОРГАНИЗАЦИЯ ПРОВЕДЕНИЯ </w:t>
      </w:r>
      <w:proofErr w:type="gramStart"/>
      <w:r>
        <w:t>НЕЗАВИСИМОЙ</w:t>
      </w:r>
      <w:proofErr w:type="gramEnd"/>
    </w:p>
    <w:p w:rsidR="00351279" w:rsidRDefault="00351279">
      <w:pPr>
        <w:pStyle w:val="ConsPlusNormal"/>
        <w:jc w:val="center"/>
      </w:pPr>
      <w:r>
        <w:t>АНТИКОРРУПЦИОННОЙ ЭКСПЕРТИЗЫ ПРОЕКТОВ АКТОВ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ind w:firstLine="540"/>
        <w:jc w:val="both"/>
      </w:pPr>
      <w:r>
        <w:t>23. Независимая антикоррупционная экспертиза проектов актов (далее - независимая экспертиза) проводится одновременно с антикоррупционной экспертизой.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24. Независимая экспертиза проводится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методикой.</w:t>
      </w:r>
    </w:p>
    <w:p w:rsidR="00351279" w:rsidRDefault="00351279">
      <w:pPr>
        <w:pStyle w:val="ConsPlusNormal"/>
        <w:spacing w:before="280"/>
        <w:ind w:firstLine="540"/>
        <w:jc w:val="both"/>
      </w:pPr>
      <w:bookmarkStart w:id="2" w:name="P130"/>
      <w:bookmarkEnd w:id="2"/>
      <w:r>
        <w:t>25. В целях обеспечения проведения независимой экспертизы проекты актов размещаются экспертом на сайте города в подразделе "Независимая антикоррупционная экспертиза НПА и проектов НПА, проведенных органами МСУ" раздела "Противодействие коррупции" в течение рабочего дня, соответствующего дню направления указанных проектов в правовое управление Исполнительного комитета для проведения антикоррупционной экспертизы.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26. При размещении проекта акта на сайте города указываются даты начала и окончания приема заключений по результатам независимой экспертизы не менее чем на 7 дней.</w:t>
      </w:r>
    </w:p>
    <w:p w:rsidR="00351279" w:rsidRDefault="0035127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Исполкома муниципального образования "г. Набережные Челны" от 21.01.2016 N 32-р)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своевременным размещением проектов актов на сайте города осуществляет правовое управление.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28. В случае внесения в проект акта существенных изменений (не относящихся к юридико-техническим изменениям) </w:t>
      </w:r>
      <w:proofErr w:type="gramStart"/>
      <w:r>
        <w:t>новая</w:t>
      </w:r>
      <w:proofErr w:type="gramEnd"/>
      <w:r>
        <w:t xml:space="preserve"> редакции проекта с внесенными изменениями размещается в сети "Интернет" для проведения независимой экспертизы в порядке, установленном </w:t>
      </w:r>
      <w:hyperlink w:anchor="P130" w:history="1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:rsidR="00351279" w:rsidRDefault="00351279">
      <w:pPr>
        <w:pStyle w:val="ConsPlusNormal"/>
        <w:spacing w:before="280"/>
        <w:ind w:firstLine="540"/>
        <w:jc w:val="both"/>
      </w:pPr>
      <w:bookmarkStart w:id="3" w:name="P135"/>
      <w:bookmarkEnd w:id="3"/>
      <w:r>
        <w:t>29. Заключение по результатам независимой экспертизы (далее - заключение) направляется на адрес электронной почты ake_chelny@list.ru, а также по адресу: 423805, проспект Хасана Туфана, д. 23, каб. 365.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30. Заключение, поступившее на адрес электронной почты, указанный в </w:t>
      </w:r>
      <w:hyperlink w:anchor="P13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29</w:t>
        </w:r>
      </w:hyperlink>
      <w:r>
        <w:t xml:space="preserve"> настоящего Порядка, подлежит направлению разработчику, ответственному за подготовку проекта акта.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 xml:space="preserve">31. Заключение, поступившее в Исполнительный комитет по адресу, указанному в </w:t>
      </w:r>
      <w:hyperlink w:anchor="P13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29</w:t>
        </w:r>
      </w:hyperlink>
      <w:r>
        <w:t xml:space="preserve"> настоящего Порядка, по почте, подлежит обязательной регистрации и направлению разработчику в день получения.</w:t>
      </w:r>
    </w:p>
    <w:p w:rsidR="00351279" w:rsidRDefault="00351279">
      <w:pPr>
        <w:pStyle w:val="ConsPlusNormal"/>
        <w:spacing w:before="280"/>
        <w:ind w:firstLine="540"/>
        <w:jc w:val="both"/>
      </w:pPr>
      <w:r>
        <w:t>32.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jc w:val="right"/>
      </w:pPr>
      <w:r>
        <w:t>И.о. Руководителя Аппарата</w:t>
      </w:r>
    </w:p>
    <w:p w:rsidR="00351279" w:rsidRDefault="00351279">
      <w:pPr>
        <w:pStyle w:val="ConsPlusNormal"/>
        <w:jc w:val="right"/>
      </w:pPr>
      <w:r>
        <w:t>Исполнительного комитета</w:t>
      </w:r>
    </w:p>
    <w:p w:rsidR="00351279" w:rsidRDefault="00351279">
      <w:pPr>
        <w:pStyle w:val="ConsPlusNormal"/>
        <w:jc w:val="right"/>
      </w:pPr>
      <w:r>
        <w:t>Н.И.ГАЛИЕВА</w:t>
      </w: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jc w:val="both"/>
      </w:pPr>
    </w:p>
    <w:p w:rsidR="00351279" w:rsidRDefault="003512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AE0" w:rsidRDefault="00574AE0">
      <w:bookmarkStart w:id="4" w:name="_GoBack"/>
      <w:bookmarkEnd w:id="4"/>
    </w:p>
    <w:sectPr w:rsidR="00574AE0" w:rsidSect="00B7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79"/>
    <w:rsid w:val="00351279"/>
    <w:rsid w:val="005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279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51279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51279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279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51279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51279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0F0EE7D7DDE1A1826488368C9B0326350955C09CAC12A5BAD2AFBC8C4v7K" TargetMode="External"/><Relationship Id="rId13" Type="http://schemas.openxmlformats.org/officeDocument/2006/relationships/hyperlink" Target="consultantplus://offline/ref=0350F0EE7D7DDE1A1826568E7EA5ED396259CB5000C8CE7B01F271A69F4E11D0CFv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50F0EE7D7DDE1A1826488368C9B0326057965900CEC12A5BAD2AFBC8471B87BE311BB2A6B43BBEC7vAK" TargetMode="External"/><Relationship Id="rId12" Type="http://schemas.openxmlformats.org/officeDocument/2006/relationships/hyperlink" Target="consultantplus://offline/ref=0350F0EE7D7DDE1A1826568E7EA5ED396259CB5000C8CE7A0FF271A69F4E11D0CFv9K" TargetMode="External"/><Relationship Id="rId17" Type="http://schemas.openxmlformats.org/officeDocument/2006/relationships/hyperlink" Target="consultantplus://offline/ref=0350F0EE7D7DDE1A1826568E7EA5ED396259CB5009C9C87B05FA2CAC97171DD2FE711DE7E5F036BD7837CF42C4v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50F0EE7D7DDE1A1826488368C9B0326350955C09CAC12A5BAD2AFBC8471B87BE311BB2A6B43BBEC7v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0F0EE7D7DDE1A1826568E7EA5ED396259CB5009C9C87B05FA2CAC97171DD2FE711DE7E5F036BD7837CF42C4v6K" TargetMode="External"/><Relationship Id="rId11" Type="http://schemas.openxmlformats.org/officeDocument/2006/relationships/hyperlink" Target="consultantplus://offline/ref=0350F0EE7D7DDE1A1826568E7EA5ED396259CB5000C1CD7A0FF271A69F4E11D0CFv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50F0EE7D7DDE1A1826568E7EA5ED396259CB5009C9C87B05FA2CAC97171DD2FE711DE7E5F036BD7837CF42C4v6K" TargetMode="External"/><Relationship Id="rId10" Type="http://schemas.openxmlformats.org/officeDocument/2006/relationships/hyperlink" Target="consultantplus://offline/ref=0350F0EE7D7DDE1A1826568E7EA5ED396259CB500DCBCC790EF271A69F4E11D0F97E42F0E2B93ABC7837CFC4vB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50F0EE7D7DDE1A1826568E7EA5ED396259CB5009CBCA7E03F12CAC97171DD2FE711DE7E5F036BD7835CE4AC4v5K" TargetMode="External"/><Relationship Id="rId14" Type="http://schemas.openxmlformats.org/officeDocument/2006/relationships/hyperlink" Target="consultantplus://offline/ref=0350F0EE7D7DDE1A1826568E7EA5ED396259CB5000C8C27A06F271A69F4E11D0CF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2364</Words>
  <Characters>13481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ИСПОЛНИТЕЛЬНЫЙ КОМИТЕТ МУНИЦИПАЛЬНОГО ОБРАЗОВАНИЯ</vt:lpstr>
      <vt:lpstr>Приложение</vt:lpstr>
      <vt:lpstr>    Глава 1. ОБЩИЕ ПОЛОЖЕНИЯ</vt:lpstr>
      <vt:lpstr>    Глава 2. ПРОВЕДЕНИЕ АНТИКОРРУПЦИОННОЙ ЭКСПЕРТИЗЫ</vt:lpstr>
      <vt:lpstr>    Глава 3. ПРОВЕДЕНИЕ АНТИКОРРУПЦИОННОЙ ЭКСПЕРТИЗЫ АКТОВ</vt:lpstr>
      <vt:lpstr>    Глава 4. ПОЛНОМОЧИЯ ЭКСПЕРТОВ, РАЗРАБОТЧИКОВ И ИНИЦИАТОРОВ</vt:lpstr>
      <vt:lpstr>    Глава 5. ИНФОРМАЦИЯ О РЕЗУЛЬТАТАХ</vt:lpstr>
      <vt:lpstr>    Глава 6. ОРГАНИЗАЦИЯ ПРОВЕДЕНИЯ НЕЗАВИСИМОЙ</vt:lpstr>
    </vt:vector>
  </TitlesOfParts>
  <Company>SPecialiST RePack</Company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Файсханов</dc:creator>
  <cp:lastModifiedBy>Рамиль Файсханов</cp:lastModifiedBy>
  <cp:revision>1</cp:revision>
  <dcterms:created xsi:type="dcterms:W3CDTF">2017-10-12T10:47:00Z</dcterms:created>
  <dcterms:modified xsi:type="dcterms:W3CDTF">2017-10-12T10:47:00Z</dcterms:modified>
</cp:coreProperties>
</file>