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spacing w:before="45" w:after="0"/>
        <w:ind w:left="0" w:right="-141" w:firstLine="142"/>
        <w:jc w:val="center"/>
        <w:rPr/>
      </w:pPr>
      <w:r>
        <w:rPr>
          <w:sz w:val="24"/>
          <w:szCs w:val="24"/>
          <w:lang w:val="ru-RU"/>
        </w:rPr>
        <w:t>Җәмәгать тыңлаулары башлану турында</w:t>
      </w:r>
    </w:p>
    <w:p>
      <w:pPr>
        <w:pStyle w:val="Style16"/>
        <w:spacing w:before="45" w:after="0"/>
        <w:ind w:left="0" w:right="-141" w:firstLine="142"/>
        <w:jc w:val="center"/>
        <w:rPr/>
      </w:pPr>
      <w:r>
        <w:rPr>
          <w:sz w:val="24"/>
          <w:szCs w:val="24"/>
          <w:lang w:val="ru-RU"/>
        </w:rPr>
        <w:t>хәбәр итү</w:t>
      </w:r>
    </w:p>
    <w:p>
      <w:pPr>
        <w:pStyle w:val="Style16"/>
        <w:spacing w:before="45" w:after="0"/>
        <w:ind w:left="0" w:right="-141" w:firstLine="142"/>
        <w:jc w:val="center"/>
        <w:rPr>
          <w:sz w:val="24"/>
          <w:szCs w:val="24"/>
          <w:lang w:val="ru-RU"/>
        </w:rPr>
      </w:pPr>
      <w:r>
        <w:rPr>
          <w:sz w:val="24"/>
          <w:szCs w:val="24"/>
          <w:lang w:val="ru-RU"/>
        </w:rPr>
      </w:r>
    </w:p>
    <w:p>
      <w:pPr>
        <w:pStyle w:val="Normal"/>
        <w:spacing w:before="1" w:after="0"/>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r>
    </w:p>
    <w:p>
      <w:pPr>
        <w:pStyle w:val="Style16"/>
        <w:ind w:left="103" w:right="116" w:firstLine="708"/>
        <w:jc w:val="both"/>
        <w:rPr/>
      </w:pPr>
      <w:r>
        <w:rPr>
          <w:spacing w:val="-1"/>
          <w:sz w:val="24"/>
          <w:szCs w:val="24"/>
          <w:lang w:val="ru-RU"/>
        </w:rPr>
        <w:t xml:space="preserve">Россия Федерациясе Шәһәр төзелеше кодексы таләпләренә таянып, «Гавами хакимиятнең бердәм системасында җирле үзидарәне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spacing w:val="-2"/>
          <w:sz w:val="24"/>
          <w:szCs w:val="24"/>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җәмәгать фикер алышуларын яки җәмәгать тыңлауларын оештыру һәм үткәрү тәртибе</w:t>
      </w:r>
      <w:r>
        <w:rPr>
          <w:spacing w:val="-1"/>
          <w:sz w:val="24"/>
          <w:szCs w:val="24"/>
          <w:lang w:val="ru-RU"/>
        </w:rPr>
        <w:t>, Башкарма комитетның «</w:t>
      </w:r>
      <w:r>
        <w:rPr>
          <w:spacing w:val="-2"/>
          <w:sz w:val="24"/>
          <w:szCs w:val="24"/>
          <w:lang w:val="tt-RU"/>
        </w:rPr>
        <w:t>Яр Чаллы шәһәренең җирдән файдалану һәм төзелеш комиссиясе турында» 2008 елның 1 декабрендәге 3791 номерлы карары,</w:t>
      </w:r>
      <w:r>
        <w:rPr>
          <w:spacing w:val="-1"/>
          <w:sz w:val="24"/>
          <w:szCs w:val="24"/>
          <w:lang w:val="ru-RU"/>
        </w:rPr>
        <w:t xml:space="preserve"> Татарстан Республикасы төзелеш, архитектура һәм торак-коммуналь хуҗалык министрлыгының 2026 елның 1 августындагы 01-09-18121 номерлы мөрәҗәгате нигезендә </w:t>
      </w:r>
    </w:p>
    <w:p>
      <w:pPr>
        <w:pStyle w:val="Style16"/>
        <w:ind w:left="103" w:right="116" w:firstLine="708"/>
        <w:jc w:val="center"/>
        <w:rPr/>
      </w:pPr>
      <w:r>
        <w:rPr>
          <w:spacing w:val="-1"/>
          <w:sz w:val="24"/>
          <w:szCs w:val="24"/>
          <w:lang w:val="ru-RU"/>
        </w:rPr>
        <w:t xml:space="preserve">җәмәгать тыңлаулары процедурасын </w:t>
      </w:r>
    </w:p>
    <w:p>
      <w:pPr>
        <w:pStyle w:val="Style16"/>
        <w:ind w:left="103" w:right="116" w:firstLine="708"/>
        <w:jc w:val="center"/>
        <w:rPr/>
      </w:pPr>
      <w:r>
        <w:rPr>
          <w:spacing w:val="-1"/>
          <w:sz w:val="24"/>
          <w:szCs w:val="24"/>
          <w:lang w:val="ru-RU"/>
        </w:rPr>
        <w:t>үткәрә башлау турында хәбәр итәбез:</w:t>
      </w:r>
    </w:p>
    <w:p>
      <w:pPr>
        <w:pStyle w:val="Style16"/>
        <w:ind w:left="103" w:right="116" w:firstLine="708"/>
        <w:jc w:val="both"/>
        <w:rPr>
          <w:spacing w:val="-1"/>
          <w:sz w:val="24"/>
          <w:szCs w:val="24"/>
          <w:lang w:val="ru-RU"/>
        </w:rPr>
      </w:pPr>
      <w:r>
        <w:rPr>
          <w:spacing w:val="-1"/>
          <w:sz w:val="24"/>
          <w:szCs w:val="24"/>
          <w:lang w:val="ru-RU"/>
        </w:rPr>
      </w:r>
    </w:p>
    <w:tbl>
      <w:tblPr>
        <w:tblStyle w:val="TableNormal"/>
        <w:tblW w:w="10964" w:type="dxa"/>
        <w:jc w:val="left"/>
        <w:tblInd w:w="111" w:type="dxa"/>
        <w:tblLayout w:type="fixed"/>
        <w:tblCellMar>
          <w:top w:w="0" w:type="dxa"/>
          <w:left w:w="6" w:type="dxa"/>
          <w:bottom w:w="0" w:type="dxa"/>
          <w:right w:w="6" w:type="dxa"/>
        </w:tblCellMar>
        <w:tblLook w:val="01e0"/>
      </w:tblPr>
      <w:tblGrid>
        <w:gridCol w:w="422"/>
        <w:gridCol w:w="3837"/>
        <w:gridCol w:w="6705"/>
      </w:tblGrid>
      <w:tr>
        <w:trPr>
          <w:trHeight w:val="11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 турында мәгълүмат</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176" w:hanging="0"/>
              <w:jc w:val="both"/>
              <w:rPr/>
            </w:pPr>
            <w:r>
              <w:rPr>
                <w:rFonts w:ascii="Tinos" w:hAnsi="Tinos"/>
                <w:sz w:val="20"/>
                <w:szCs w:val="20"/>
              </w:rPr>
              <w:t>Татарстан Республикасы, Яр Чаллы шәһәре, 66 микрорайон адресы буенча урнашкан, мәйданы 1</w:t>
            </w:r>
            <w:r>
              <w:rPr>
                <w:rFonts w:ascii="Tinos" w:hAnsi="Tinos"/>
                <w:sz w:val="20"/>
                <w:szCs w:val="20"/>
              </w:rPr>
              <w:t>223</w:t>
            </w:r>
            <w:r>
              <w:rPr>
                <w:rFonts w:ascii="Tinos" w:hAnsi="Tinos"/>
                <w:sz w:val="20"/>
                <w:szCs w:val="20"/>
              </w:rPr>
              <w:t xml:space="preserve"> кв.м, </w:t>
            </w:r>
            <w:r>
              <w:rPr>
                <w:rFonts w:eastAsia="Calibri" w:cs="" w:ascii="Times New Roman" w:hAnsi="Times New Roman"/>
                <w:spacing w:val="-1"/>
                <w:kern w:val="0"/>
                <w:sz w:val="20"/>
                <w:szCs w:val="20"/>
                <w:lang w:val="ru-RU" w:eastAsia="en-US" w:bidi="ar-SA"/>
              </w:rPr>
              <w:t>кадастр</w:t>
            </w:r>
            <w:r>
              <w:rPr>
                <w:rFonts w:eastAsia="Calibri" w:cs="" w:ascii="Times New Roman" w:hAnsi="Times New Roman"/>
                <w:spacing w:val="-8"/>
                <w:kern w:val="0"/>
                <w:sz w:val="20"/>
                <w:szCs w:val="20"/>
                <w:lang w:val="ru-RU" w:eastAsia="en-US" w:bidi="ar-SA"/>
              </w:rPr>
              <w:t xml:space="preserve"> </w:t>
            </w:r>
            <w:r>
              <w:rPr>
                <w:rFonts w:eastAsia="Calibri" w:cs="" w:ascii="Times New Roman" w:hAnsi="Times New Roman"/>
                <w:kern w:val="0"/>
                <w:sz w:val="20"/>
                <w:szCs w:val="20"/>
                <w:lang w:val="ru-RU" w:eastAsia="en-US" w:bidi="ar-SA"/>
              </w:rPr>
              <w:t>номеры</w:t>
            </w:r>
            <w:r>
              <w:rPr>
                <w:rFonts w:eastAsia="Calibri" w:cs="" w:ascii="Times New Roman" w:hAnsi="Times New Roman"/>
                <w:spacing w:val="62"/>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16:52:060403:198</w:t>
            </w:r>
            <w:r>
              <w:rPr>
                <w:rFonts w:eastAsia="Calibri" w:cs="" w:ascii="Times New Roman" w:hAnsi="Times New Roman"/>
                <w:kern w:val="0"/>
                <w:sz w:val="20"/>
                <w:szCs w:val="20"/>
                <w:lang w:val="ru-RU" w:eastAsia="en-US" w:bidi="ar-SA"/>
              </w:rPr>
              <w:t>8</w:t>
            </w:r>
            <w:r>
              <w:rPr>
                <w:rFonts w:eastAsia="Calibri" w:cs="" w:ascii="Times New Roman" w:hAnsi="Times New Roman"/>
                <w:kern w:val="0"/>
                <w:sz w:val="20"/>
                <w:szCs w:val="20"/>
                <w:lang w:val="ru-RU" w:eastAsia="en-US" w:bidi="ar-SA"/>
              </w:rPr>
              <w:t xml:space="preserve"> булган җир участогыннан файдалануның «блоклаштырылган торак төзелеше» шартлы рөхсәт ителгән төренә рөхсәт бирү турында Приказ проекты </w:t>
            </w:r>
            <w:r>
              <w:rPr>
                <w:rFonts w:eastAsia="Calibri" w:cs="" w:ascii="Times New Roman" w:hAnsi="Times New Roman"/>
                <w:spacing w:val="-5"/>
                <w:kern w:val="0"/>
                <w:sz w:val="20"/>
                <w:szCs w:val="20"/>
                <w:lang w:val="ru-RU" w:eastAsia="en-US" w:bidi="ar-SA"/>
              </w:rPr>
              <w:t>(</w:t>
            </w:r>
            <w:r>
              <w:rPr>
                <w:rFonts w:eastAsia="Calibri" w:cs="" w:ascii="Times New Roman" w:hAnsi="Times New Roman"/>
                <w:spacing w:val="-5"/>
                <w:kern w:val="0"/>
                <w:sz w:val="20"/>
                <w:szCs w:val="20"/>
                <w:lang w:val="ru-RU" w:eastAsia="en-US" w:bidi="ar-SA"/>
              </w:rPr>
              <w:t>Антонов Евгений Николаевич</w:t>
            </w:r>
            <w:r>
              <w:rPr>
                <w:rFonts w:eastAsia="Calibri" w:cs="" w:ascii="Times New Roman" w:hAnsi="Times New Roman"/>
                <w:spacing w:val="-5"/>
                <w:kern w:val="0"/>
                <w:sz w:val="20"/>
                <w:szCs w:val="20"/>
                <w:lang w:val="ru-RU" w:eastAsia="en-US" w:bidi="ar-SA"/>
              </w:rPr>
              <w:t>ның гаризасы буенча).</w:t>
            </w:r>
          </w:p>
        </w:tc>
      </w:tr>
      <w:tr>
        <w:trPr>
          <w:trHeight w:val="107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2.</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firstLine="113"/>
              <w:jc w:val="both"/>
              <w:rPr>
                <w:rFonts w:ascii="Times New Roman" w:hAnsi="Times New Roman" w:eastAsia="Times New Roman" w:cs="Times New Roman"/>
                <w:kern w:val="0"/>
                <w:sz w:val="20"/>
                <w:szCs w:val="20"/>
                <w:lang w:val="ru-RU" w:eastAsia="en-US" w:bidi="ar-SA"/>
              </w:rPr>
            </w:pPr>
            <w:r>
              <w:rPr>
                <w:rFonts w:eastAsia="Times New Roman" w:cs="Times New Roman" w:ascii="Times New Roman" w:hAnsi="Times New Roman"/>
                <w:kern w:val="0"/>
                <w:sz w:val="20"/>
                <w:szCs w:val="20"/>
                <w:lang w:val="ru-RU" w:eastAsia="en-US" w:bidi="ar-SA"/>
              </w:rPr>
              <w:t>«Җир участогыннан яки капиталь төзелеш объектыннан файдалануның  шартлы рөхсәт ителгән төренә рөхсәт бирү турында» Татарстан Республикасы Төзелеш, архитектура һәм торак-коммуналь хуҗалык министрлыгы Приказы проекты</w:t>
            </w:r>
          </w:p>
        </w:tc>
      </w:tr>
      <w:tr>
        <w:trPr>
          <w:trHeight w:val="1644"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3.</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оештыручы</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634" w:leader="none"/>
                <w:tab w:val="left" w:pos="6689" w:leader="none"/>
              </w:tabs>
              <w:suppressAutoHyphens w:val="true"/>
              <w:bidi w:val="0"/>
              <w:spacing w:lineRule="auto" w:line="204" w:before="0" w:after="0"/>
              <w:ind w:left="113" w:right="57" w:hanging="0"/>
              <w:jc w:val="both"/>
              <w:rPr/>
            </w:pPr>
            <w:r>
              <w:rPr>
                <w:rFonts w:eastAsia="Times New Roman" w:cs="Times New Roman" w:ascii="Times New Roman" w:hAnsi="Times New Roman"/>
                <w:kern w:val="0"/>
                <w:sz w:val="20"/>
                <w:szCs w:val="20"/>
                <w:lang w:val="ru-RU" w:eastAsia="en-US" w:bidi="ar-SA"/>
              </w:rPr>
              <w:t>Яр Чаллы шәһәре муниципаль берәмлеге Башкарма комитетының «Башкарма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widowControl w:val="false"/>
              <w:suppressAutoHyphens w:val="true"/>
              <w:spacing w:lineRule="exact" w:line="204" w:before="4" w:after="0"/>
              <w:ind w:left="102" w:right="145" w:hanging="0"/>
              <w:jc w:val="both"/>
              <w:rPr/>
            </w:pPr>
            <w:r>
              <w:rPr>
                <w:rFonts w:eastAsia="Calibri" w:cs="" w:ascii="Tinos" w:hAnsi="Tinos"/>
                <w:spacing w:val="-1"/>
                <w:kern w:val="0"/>
                <w:sz w:val="20"/>
                <w:szCs w:val="20"/>
                <w:lang w:val="ru-RU" w:eastAsia="en-US" w:bidi="ar-SA"/>
              </w:rPr>
              <w:t>Элемтә</w:t>
            </w:r>
            <w:r>
              <w:rPr>
                <w:rFonts w:eastAsia="Calibri" w:cs="" w:ascii="Tinos" w:hAnsi="Tinos"/>
                <w:spacing w:val="-7"/>
                <w:kern w:val="0"/>
                <w:sz w:val="20"/>
                <w:szCs w:val="20"/>
                <w:lang w:val="ru-RU" w:eastAsia="en-US" w:bidi="ar-SA"/>
              </w:rPr>
              <w:t xml:space="preserve"> </w:t>
            </w:r>
            <w:r>
              <w:rPr>
                <w:rFonts w:eastAsia="Calibri" w:cs="" w:ascii="Tinos" w:hAnsi="Tinos"/>
                <w:kern w:val="0"/>
                <w:sz w:val="20"/>
                <w:szCs w:val="20"/>
                <w:lang w:val="ru-RU" w:eastAsia="en-US" w:bidi="ar-SA"/>
              </w:rPr>
              <w:t>телефоннары:</w:t>
            </w:r>
            <w:r>
              <w:rPr>
                <w:rFonts w:eastAsia="Calibri" w:cs="" w:ascii="Tinos" w:hAnsi="Tinos"/>
                <w:spacing w:val="-7"/>
                <w:kern w:val="0"/>
                <w:sz w:val="20"/>
                <w:szCs w:val="20"/>
                <w:lang w:val="ru-RU" w:eastAsia="en-US" w:bidi="ar-SA"/>
              </w:rPr>
              <w:t xml:space="preserve"> кабул итү бүлмәсе</w:t>
            </w:r>
            <w:r>
              <w:rPr>
                <w:rFonts w:eastAsia="Calibri" w:cs="" w:ascii="Tinos" w:hAnsi="Tinos"/>
                <w:spacing w:val="-5"/>
                <w:kern w:val="0"/>
                <w:sz w:val="20"/>
                <w:szCs w:val="20"/>
                <w:lang w:val="ru-RU" w:eastAsia="en-US" w:bidi="ar-SA"/>
              </w:rPr>
              <w:t xml:space="preserve"> </w:t>
            </w:r>
            <w:r>
              <w:rPr>
                <w:rFonts w:eastAsia="Calibri" w:cs="" w:ascii="Tinos" w:hAnsi="Tinos"/>
                <w:kern w:val="0"/>
                <w:sz w:val="20"/>
                <w:szCs w:val="20"/>
                <w:lang w:val="ru-RU" w:eastAsia="en-US" w:bidi="ar-SA"/>
              </w:rPr>
              <w:t>-</w:t>
            </w:r>
            <w:r>
              <w:rPr>
                <w:rFonts w:eastAsia="Calibri" w:cs="" w:ascii="Tinos" w:hAnsi="Tinos"/>
                <w:spacing w:val="-6"/>
                <w:kern w:val="0"/>
                <w:sz w:val="20"/>
                <w:szCs w:val="20"/>
                <w:lang w:val="ru-RU" w:eastAsia="en-US" w:bidi="ar-SA"/>
              </w:rPr>
              <w:t xml:space="preserve"> </w:t>
            </w:r>
            <w:r>
              <w:rPr>
                <w:rFonts w:eastAsia="Calibri" w:cs="" w:ascii="Tinos" w:hAnsi="Tinos"/>
                <w:kern w:val="0"/>
                <w:sz w:val="20"/>
                <w:szCs w:val="20"/>
                <w:lang w:val="ru-RU" w:eastAsia="en-US" w:bidi="ar-SA"/>
              </w:rPr>
              <w:t>8(8552)</w:t>
            </w:r>
            <w:r>
              <w:rPr>
                <w:rFonts w:eastAsia="Calibri" w:cs="" w:ascii="Tinos" w:hAnsi="Tinos"/>
                <w:spacing w:val="-9"/>
                <w:kern w:val="0"/>
                <w:sz w:val="20"/>
                <w:szCs w:val="20"/>
                <w:lang w:val="ru-RU" w:eastAsia="en-US" w:bidi="ar-SA"/>
              </w:rPr>
              <w:t xml:space="preserve"> 30-55-08</w:t>
            </w:r>
            <w:r>
              <w:rPr>
                <w:rFonts w:eastAsia="Calibri" w:cs="" w:ascii="Tinos" w:hAnsi="Tinos"/>
                <w:kern w:val="0"/>
                <w:sz w:val="20"/>
                <w:szCs w:val="20"/>
                <w:lang w:val="ru-RU" w:eastAsia="en-US" w:bidi="ar-SA"/>
              </w:rPr>
              <w:t>;</w:t>
            </w:r>
            <w:r>
              <w:rPr>
                <w:rFonts w:eastAsia="Calibri" w:cs="" w:ascii="Tinos" w:hAnsi="Tinos"/>
                <w:spacing w:val="-8"/>
                <w:kern w:val="0"/>
                <w:sz w:val="20"/>
                <w:szCs w:val="20"/>
                <w:lang w:val="ru-RU" w:eastAsia="en-US" w:bidi="ar-SA"/>
              </w:rPr>
              <w:t xml:space="preserve"> каб. 206, 8(8552) 39-24-48</w:t>
            </w:r>
            <w:r>
              <w:rPr>
                <w:rFonts w:eastAsia="Calibri" w:cs="" w:ascii="Tinos" w:hAnsi="Tinos"/>
                <w:spacing w:val="56"/>
                <w:w w:val="99"/>
                <w:kern w:val="0"/>
                <w:sz w:val="20"/>
                <w:szCs w:val="20"/>
                <w:lang w:val="ru-RU" w:eastAsia="en-US" w:bidi="ar-SA"/>
              </w:rPr>
              <w:t>.</w:t>
            </w:r>
          </w:p>
        </w:tc>
      </w:tr>
      <w:tr>
        <w:trPr>
          <w:trHeight w:val="2890"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4.</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үткәрү тәртибе турында мәгълүмат</w:t>
            </w:r>
          </w:p>
          <w:p>
            <w:pPr>
              <w:pStyle w:val="TableParagraph"/>
              <w:widowControl w:val="false"/>
              <w:suppressAutoHyphens w:val="true"/>
              <w:spacing w:lineRule="exact" w:line="204" w:before="4" w:after="0"/>
              <w:ind w:left="102" w:right="686"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үткәрү процедурасы түбәндәге этаплардан тора:</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 башлану турында хәбәр итү;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 экспозициясен яисә экспозицияләрен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4) җәмәгать тыңлауларында катнашучыларның җыелышын яисә җыелышларын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5) җәмәгать тыңлауларының беркетмәсен әзерләү һәм рәсмиләштерү;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6) җәмәгать тыңлаулары нәтиҗәләре турында бәяләмә әзерләү һәм бастырып чыгару.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уздыру формасы - җәмәгать тыңлауларында катнашучыларның җыелышы.</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113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5.</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w:t>
            </w:r>
          </w:p>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үткәрү сроклары турында</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башлану датасы:</w:t>
            </w:r>
          </w:p>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19.08.</w:t>
            </w:r>
            <w:r>
              <w:rPr>
                <w:rFonts w:eastAsia="Calibri" w:cs="" w:ascii="Times New Roman" w:hAnsi="Times New Roman"/>
                <w:kern w:val="0"/>
                <w:sz w:val="20"/>
                <w:szCs w:val="20"/>
                <w:lang w:val="ru-RU" w:eastAsia="en-US" w:bidi="ar-SA"/>
              </w:rPr>
              <w:t>2026</w:t>
            </w:r>
            <w:r>
              <w:rPr>
                <w:rFonts w:eastAsia="Calibri" w:cs="" w:ascii="Times New Roman" w:hAnsi="Times New Roman"/>
                <w:spacing w:val="-7"/>
                <w:kern w:val="0"/>
                <w:sz w:val="20"/>
                <w:szCs w:val="20"/>
                <w:lang w:val="ru-RU" w:eastAsia="en-US" w:bidi="ar-SA"/>
              </w:rPr>
              <w:t xml:space="preserve"> ел</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тәмамлану датасы:</w:t>
            </w:r>
          </w:p>
          <w:p>
            <w:pPr>
              <w:pStyle w:val="TableParagraph"/>
              <w:widowControl w:val="false"/>
              <w:suppressAutoHyphens w:val="true"/>
              <w:spacing w:lineRule="exact" w:line="212"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16.09.2026</w:t>
            </w:r>
            <w:r>
              <w:rPr>
                <w:rFonts w:eastAsia="Calibri" w:cs="" w:ascii="Times New Roman" w:hAnsi="Times New Roman"/>
                <w:spacing w:val="-4"/>
                <w:kern w:val="0"/>
                <w:sz w:val="20"/>
                <w:szCs w:val="20"/>
                <w:lang w:val="ru-RU" w:eastAsia="en-US" w:bidi="ar-SA"/>
              </w:rPr>
              <w:t xml:space="preserve"> елдан да соңрак түгел</w:t>
            </w:r>
          </w:p>
        </w:tc>
      </w:tr>
      <w:tr>
        <w:trPr>
          <w:trHeight w:val="335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6.</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даирәсе</w:t>
            </w:r>
          </w:p>
        </w:tc>
        <w:tc>
          <w:tcPr>
            <w:tcW w:w="6705"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җир участогы яисә капиталь төзелеш объекты урнашкан территориаль зона чикләрендә даими яшәүче, аларга карата проект әзерләнгән гражданнар,</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 xml:space="preserve"> </w:t>
            </w:r>
            <w:r>
              <w:rPr>
                <w:rFonts w:eastAsia="Calibri" w:cs="" w:ascii="Times New Roman" w:hAnsi="Times New Roman"/>
                <w:spacing w:val="-1"/>
                <w:kern w:val="0"/>
                <w:sz w:val="20"/>
                <w:szCs w:val="20"/>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385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7.</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1" w:after="0"/>
              <w:ind w:left="102" w:right="866"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үткәрелә торган чикләрдәге территория</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Муниципаль берәмлек территориясе:</w:t>
            </w:r>
          </w:p>
          <w:p>
            <w:pPr>
              <w:pStyle w:val="TableParagraph"/>
              <w:widowControl w:val="false"/>
              <w:suppressAutoHyphens w:val="true"/>
              <w:spacing w:lineRule="exact" w:line="206" w:before="9" w:after="0"/>
              <w:ind w:left="102" w:right="209" w:hanging="0"/>
              <w:jc w:val="left"/>
              <w:rPr>
                <w:rFonts w:ascii="Calibri" w:hAnsi="Calibri" w:eastAsia="Calibri" w:cs=""/>
                <w:kern w:val="0"/>
                <w:sz w:val="22"/>
                <w:szCs w:val="22"/>
                <w:lang w:val="en-US" w:eastAsia="en-US" w:bidi="ar-SA"/>
              </w:rPr>
            </w:pP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Яр Чаллы шәһәре</w:t>
            </w: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Ж-1 — индивидуаль торак төзелеше территориаль зонасы чикләрендә</w:t>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Normal"/>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mc:AlternateContent>
                <mc:Choice Requires="wpg">
                  <w:drawing>
                    <wp:inline distT="0" distB="0" distL="0" distR="0">
                      <wp:extent cx="3735705" cy="1778635"/>
                      <wp:effectExtent l="114300" t="0" r="114300" b="0"/>
                      <wp:docPr id="1" name="Фигура 1"/>
                      <a:graphic xmlns:a="http://schemas.openxmlformats.org/drawingml/2006/main">
                        <a:graphicData uri="http://schemas.microsoft.com/office/word/2010/wordprocessingGroup">
                          <wpg:wgp>
                            <wpg:cNvGrpSpPr/>
                            <wpg:grpSpPr>
                              <a:xfrm>
                                <a:off x="0" y="0"/>
                                <a:ext cx="3735720" cy="1778760"/>
                                <a:chOff x="0" y="0"/>
                                <a:chExt cx="3735720" cy="1778760"/>
                              </a:xfrm>
                            </wpg:grpSpPr>
                            <pic:pic xmlns:pic="http://schemas.openxmlformats.org/drawingml/2006/picture">
                              <pic:nvPicPr>
                                <pic:cNvPr id="2" name="" descr=""/>
                                <pic:cNvPicPr/>
                              </pic:nvPicPr>
                              <pic:blipFill>
                                <a:blip r:embed="rId2"/>
                                <a:stretch/>
                              </pic:blipFill>
                              <pic:spPr>
                                <a:xfrm>
                                  <a:off x="0" y="0"/>
                                  <a:ext cx="3735720" cy="1778760"/>
                                </a:xfrm>
                                <a:prstGeom prst="rect">
                                  <a:avLst/>
                                </a:prstGeom>
                                <a:ln w="0">
                                  <a:noFill/>
                                </a:ln>
                              </pic:spPr>
                            </pic:pic>
                            <wpg:grpSp>
                              <wpg:cNvGrpSpPr/>
                              <wpg:grpSpPr>
                                <a:xfrm>
                                  <a:off x="1554480" y="366480"/>
                                  <a:ext cx="675720" cy="269280"/>
                                </a:xfrm>
                              </wpg:grpSpPr>
                              <wps:wsp>
                                <wps:cNvPr id="3" name=""/>
                                <wps:cNvSpPr/>
                                <wps:spPr>
                                  <a:xfrm>
                                    <a:off x="0" y="0"/>
                                    <a:ext cx="675720" cy="269280"/>
                                  </a:xfrm>
                                  <a:custGeom>
                                    <a:avLst/>
                                    <a:gdLst>
                                      <a:gd name="textAreaLeft" fmla="*/ 0 w 383040"/>
                                      <a:gd name="textAreaRight" fmla="*/ 383400 w 383040"/>
                                      <a:gd name="textAreaTop" fmla="*/ 0 h 152640"/>
                                      <a:gd name="textAreaBottom" fmla="*/ 153000 h 152640"/>
                                    </a:gdLst>
                                    <a:ahLst/>
                                    <a:rect l="textAreaLeft" t="textAreaTop" r="textAreaRight" b="textAreaBottom"/>
                                    <a:pathLst>
                                      <a:path w="1877" h="750">
                                        <a:moveTo>
                                          <a:pt x="0" y="477"/>
                                        </a:moveTo>
                                        <a:lnTo>
                                          <a:pt x="1215" y="0"/>
                                        </a:lnTo>
                                        <a:lnTo>
                                          <a:pt x="1876" y="266"/>
                                        </a:lnTo>
                                        <a:lnTo>
                                          <a:pt x="608" y="749"/>
                                        </a:lnTo>
                                        <a:lnTo>
                                          <a:pt x="0" y="477"/>
                                        </a:lnTo>
                                        <a:close/>
                                      </a:path>
                                    </a:pathLst>
                                  </a:custGeom>
                                  <a:noFill/>
                                  <a:ln w="28440">
                                    <a:solidFill>
                                      <a:srgbClr val="ff0000"/>
                                    </a:solidFill>
                                    <a:round/>
                                  </a:ln>
                                </wps:spPr>
                                <wps:style>
                                  <a:lnRef idx="0"/>
                                  <a:fillRef idx="0"/>
                                  <a:effectRef idx="0"/>
                                  <a:fontRef idx="minor"/>
                                </wps:style>
                                <wps:bodyPr/>
                              </wps:wsp>
                            </wpg:grpSp>
                          </wpg:wgp>
                        </a:graphicData>
                      </a:graphic>
                    </wp:inline>
                  </w:drawing>
                </mc:Choice>
                <mc:Fallback>
                  <w:pict>
                    <v:group id="shape_0" alt="Фигура 1" style="position:absolute;margin-left:0pt;margin-top:-15.05pt;width:294.15pt;height:140.05pt" coordorigin="0,-301" coordsize="5883,2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301;width:5882;height:2800;mso-wrap-style:none;v-text-anchor:middle" type="_x0000_t75">
                        <v:imagedata r:id="rId3" o:detectmouseclick="t"/>
                        <v:stroke color="#3465a4" joinstyle="round" endcap="flat"/>
                        <w10:wrap type="square"/>
                      </v:shape>
                      <v:group id="shape_0" style="position:absolute;left:2448;top:276;width:1064;height:424"/>
                    </v:group>
                  </w:pict>
                </mc:Fallback>
              </mc:AlternateContent>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195" w:before="0" w:after="0"/>
              <w:ind w:left="102" w:right="0" w:hanging="0"/>
              <w:jc w:val="left"/>
              <w:rPr>
                <w:rFonts w:ascii="Times New Roman" w:hAnsi="Times New Roman"/>
                <w:sz w:val="20"/>
                <w:szCs w:val="20"/>
                <w:lang w:val="ru-RU"/>
              </w:rPr>
            </w:pPr>
            <w:r>
              <w:rPr>
                <w:rFonts w:ascii="Times New Roman" w:hAnsi="Times New Roman"/>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Fonts w:cs="Times New Roman" w:ascii="Times New Roman" w:hAnsi="Times New Roman"/>
                <w:spacing w:val="28"/>
                <w:w w:val="99"/>
                <w:sz w:val="20"/>
                <w:szCs w:val="20"/>
                <w:lang w:val="ru-RU"/>
              </w:rPr>
            </w:r>
          </w:p>
          <w:p>
            <w:pPr>
              <w:pStyle w:val="TableParagraph"/>
              <w:widowControl w:val="false"/>
              <w:suppressAutoHyphens w:val="true"/>
              <w:spacing w:lineRule="exact" w:line="206" w:before="9" w:after="0"/>
              <w:ind w:left="102" w:right="209" w:hanging="0"/>
              <w:jc w:val="left"/>
              <w:rPr>
                <w:rFonts w:ascii="Times New Roman" w:hAnsi="Times New Roman" w:cs="Times New Roman"/>
                <w:spacing w:val="28"/>
                <w:w w:val="99"/>
                <w:sz w:val="20"/>
                <w:szCs w:val="20"/>
                <w:lang w:val="ru-RU"/>
              </w:rPr>
            </w:pPr>
            <w:r>
              <w:rPr/>
            </w:r>
          </w:p>
        </w:tc>
      </w:tr>
      <w:tr>
        <w:trPr>
          <w:trHeight w:val="431"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8.</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урыны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Татарстан Республикасы, Яр Чаллы шәһәре,</w:t>
            </w:r>
            <w:r>
              <w:rPr>
                <w:rFonts w:eastAsia="Calibri" w:cs="" w:ascii="Times New Roman" w:hAnsi="Times New Roman"/>
                <w:spacing w:val="-4"/>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Мир пр., 62 (3/16), каб.206, 2 этаж</w:t>
            </w:r>
          </w:p>
        </w:tc>
      </w:tr>
      <w:tr>
        <w:trPr>
          <w:trHeight w:val="6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9.</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датас</w:t>
            </w:r>
            <w:r>
              <w:rPr>
                <w:rFonts w:eastAsia="Calibri" w:cs="" w:ascii="Times New Roman" w:hAnsi="Times New Roman"/>
                <w:spacing w:val="-1"/>
                <w:kern w:val="0"/>
                <w:sz w:val="20"/>
                <w:szCs w:val="20"/>
                <w:lang w:val="ru-RU" w:eastAsia="en-US" w:bidi="ar-SA"/>
              </w:rPr>
              <w:t>ы</w:t>
            </w:r>
          </w:p>
          <w:p>
            <w:pPr>
              <w:pStyle w:val="TableParagraph"/>
              <w:widowControl w:val="false"/>
              <w:suppressAutoHyphens w:val="true"/>
              <w:spacing w:lineRule="exact" w:line="204" w:before="3" w:after="0"/>
              <w:ind w:left="102" w:right="253"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19.08.</w:t>
            </w:r>
            <w:r>
              <w:rPr>
                <w:rFonts w:eastAsia="Calibri" w:cs="" w:ascii="Times New Roman" w:hAnsi="Times New Roman"/>
                <w:kern w:val="0"/>
                <w:sz w:val="20"/>
                <w:szCs w:val="20"/>
                <w:lang w:val="ru-RU" w:eastAsia="en-US" w:bidi="ar-SA"/>
              </w:rPr>
              <w:t>2026 ел</w:t>
            </w:r>
          </w:p>
        </w:tc>
      </w:tr>
      <w:tr>
        <w:trPr>
          <w:trHeight w:val="62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10.</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үткәрү срогы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4"/>
                <w:kern w:val="0"/>
                <w:sz w:val="20"/>
                <w:szCs w:val="20"/>
                <w:lang w:val="ru-RU" w:eastAsia="en-US" w:bidi="ar-SA"/>
              </w:rPr>
              <w:t>19.08.2026 - 27.08.2026</w:t>
            </w:r>
          </w:p>
        </w:tc>
      </w:tr>
      <w:tr>
        <w:trPr>
          <w:trHeight w:val="67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11.</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карау мөмкинлеге булган көннәр һәм сәгатьләр турында мәгълүмат</w:t>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89"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Атнаның эш көннәрендә</w:t>
            </w:r>
            <w:r>
              <w:rPr>
                <w:rFonts w:eastAsia="Calibri" w:cs="" w:ascii="Times New Roman" w:hAnsi="Times New Roman"/>
                <w:spacing w:val="-1"/>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дүшәмбедән җомгага кадәр </w:t>
            </w:r>
            <w:r>
              <w:rPr>
                <w:rFonts w:eastAsia="Calibri" w:cs="" w:ascii="Times New Roman" w:hAnsi="Times New Roman"/>
                <w:kern w:val="0"/>
                <w:sz w:val="20"/>
                <w:szCs w:val="20"/>
                <w:lang w:val="ru-RU" w:eastAsia="en-US" w:bidi="ar-SA"/>
              </w:rPr>
              <w:t>8.00</w:t>
            </w:r>
            <w:r>
              <w:rPr>
                <w:rFonts w:eastAsia="Calibri" w:cs="" w:ascii="Times New Roman" w:hAnsi="Times New Roman"/>
                <w:spacing w:val="-5"/>
                <w:kern w:val="0"/>
                <w:sz w:val="20"/>
                <w:szCs w:val="20"/>
                <w:lang w:val="ru-RU" w:eastAsia="en-US" w:bidi="ar-SA"/>
              </w:rPr>
              <w:t xml:space="preserve"> — </w:t>
            </w:r>
            <w:r>
              <w:rPr>
                <w:rFonts w:eastAsia="Calibri" w:cs="" w:ascii="Times New Roman" w:hAnsi="Times New Roman"/>
                <w:kern w:val="0"/>
                <w:sz w:val="20"/>
                <w:szCs w:val="20"/>
                <w:lang w:val="ru-RU" w:eastAsia="en-US" w:bidi="ar-SA"/>
              </w:rPr>
              <w:t>17.00 сәг.</w:t>
            </w:r>
            <w:r>
              <w:rPr>
                <w:rFonts w:eastAsia="Calibri" w:cs="" w:ascii="Times New Roman" w:hAnsi="Times New Roman"/>
                <w:spacing w:val="-3"/>
                <w:kern w:val="0"/>
                <w:sz w:val="20"/>
                <w:szCs w:val="20"/>
                <w:lang w:val="ru-RU" w:eastAsia="en-US" w:bidi="ar-SA"/>
              </w:rPr>
              <w:t xml:space="preserve"> </w:t>
            </w:r>
            <w:r>
              <w:rPr>
                <w:rFonts w:eastAsia="Calibri" w:cs="" w:ascii="Times New Roman" w:hAnsi="Times New Roman"/>
                <w:kern w:val="0"/>
                <w:sz w:val="20"/>
                <w:szCs w:val="20"/>
                <w:lang w:val="ru-RU" w:eastAsia="en-US" w:bidi="ar-SA"/>
              </w:rPr>
              <w:t>(төшке ял</w:t>
            </w:r>
            <w:r>
              <w:rPr>
                <w:rFonts w:eastAsia="Calibri" w:cs="" w:ascii="Times New Roman" w:hAnsi="Times New Roman"/>
                <w:spacing w:val="24"/>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12.00 —</w:t>
            </w:r>
            <w:r>
              <w:rPr>
                <w:rFonts w:eastAsia="Calibri" w:cs="" w:ascii="Times New Roman" w:hAnsi="Times New Roman"/>
                <w:spacing w:val="-6"/>
                <w:kern w:val="0"/>
                <w:sz w:val="20"/>
                <w:szCs w:val="20"/>
                <w:lang w:val="ru-RU" w:eastAsia="en-US" w:bidi="ar-SA"/>
              </w:rPr>
              <w:t xml:space="preserve"> </w:t>
            </w:r>
            <w:r>
              <w:rPr>
                <w:rFonts w:eastAsia="Calibri" w:cs="" w:ascii="Times New Roman" w:hAnsi="Times New Roman"/>
                <w:kern w:val="0"/>
                <w:sz w:val="20"/>
                <w:szCs w:val="20"/>
                <w:lang w:val="ru-RU" w:eastAsia="en-US" w:bidi="ar-SA"/>
              </w:rPr>
              <w:t>13.00 сәг.)</w:t>
            </w:r>
          </w:p>
        </w:tc>
      </w:tr>
      <w:tr>
        <w:trPr>
          <w:trHeight w:val="7323"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12.</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2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фикер алышуларында (җәмәгать тыңлауларында) катнашучылар тарафыннан проектка карата тәкъдимнәр һәм искәрмәләр кертүнең тәртибе, сроклары һәм формасы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4">
              <w:r>
                <w:rPr>
                  <w:rStyle w:val="-"/>
                  <w:rFonts w:eastAsia="Calibri" w:cs="" w:ascii="Times New Roman" w:hAnsi="Times New Roman"/>
                  <w:kern w:val="0"/>
                  <w:sz w:val="20"/>
                  <w:szCs w:val="20"/>
                  <w:lang w:val="ru-RU" w:eastAsia="en-US" w:bidi="ar-SA"/>
                </w:rPr>
                <w:t>gradoctroitel@mail.ru</w:t>
              </w:r>
            </w:hyperlink>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катнашучыларның персональ мәгълүматларын эшкәртү «Персональ мәгълүматлар турында» 2006 елның 27 июлендәге      152-ФЗ номерлы Федераль законда билгеләнгән таләпләрне исәпкә алып башкарыла.</w:t>
            </w:r>
          </w:p>
        </w:tc>
      </w:tr>
      <w:tr>
        <w:trPr>
          <w:trHeight w:val="84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13.</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җыелышын (җыелышларын) үткәрү датасы, вакыты һәм урыны</w:t>
            </w:r>
          </w:p>
          <w:p>
            <w:pPr>
              <w:pStyle w:val="TableParagraph"/>
              <w:widowControl w:val="false"/>
              <w:suppressAutoHyphens w:val="true"/>
              <w:spacing w:lineRule="auto" w:line="204" w:before="0" w:after="0"/>
              <w:ind w:left="102" w:right="54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369" w:hanging="0"/>
              <w:jc w:val="left"/>
              <w:rPr>
                <w:rFonts w:ascii="Calibri" w:hAnsi="Calibri" w:eastAsia="Calibri" w:cs=""/>
                <w:kern w:val="0"/>
                <w:sz w:val="22"/>
                <w:szCs w:val="22"/>
                <w:lang w:val="en-US" w:eastAsia="en-US" w:bidi="ar-SA"/>
              </w:rPr>
            </w:pPr>
            <w:r>
              <w:rPr>
                <w:rFonts w:eastAsia="Calibri" w:cs="" w:ascii="Times New Roman" w:hAnsi="Times New Roman"/>
                <w:b w:val="false"/>
                <w:bCs w:val="false"/>
                <w:spacing w:val="-4"/>
                <w:kern w:val="0"/>
                <w:sz w:val="20"/>
                <w:szCs w:val="20"/>
                <w:lang w:val="ru-RU" w:eastAsia="en-US" w:bidi="ar-SA"/>
              </w:rPr>
              <w:t xml:space="preserve">27.08. </w:t>
            </w:r>
            <w:r>
              <w:rPr>
                <w:rFonts w:eastAsia="Calibri" w:cs="" w:ascii="Times New Roman" w:hAnsi="Times New Roman"/>
                <w:b w:val="false"/>
                <w:bCs w:val="false"/>
                <w:kern w:val="0"/>
                <w:sz w:val="20"/>
                <w:szCs w:val="20"/>
                <w:lang w:val="ru-RU" w:eastAsia="en-US" w:bidi="ar-SA"/>
              </w:rPr>
              <w:t>2026</w:t>
            </w:r>
            <w:r>
              <w:rPr>
                <w:rFonts w:eastAsia="Calibri" w:cs="" w:ascii="Times New Roman" w:hAnsi="Times New Roman"/>
                <w:b w:val="false"/>
                <w:bCs w:val="false"/>
                <w:spacing w:val="-6"/>
                <w:kern w:val="0"/>
                <w:sz w:val="20"/>
                <w:szCs w:val="20"/>
                <w:lang w:val="ru-RU" w:eastAsia="en-US" w:bidi="ar-SA"/>
              </w:rPr>
              <w:t xml:space="preserve"> ел</w:t>
            </w:r>
            <w:r>
              <w:rPr>
                <w:rFonts w:eastAsia="Calibri" w:cs="" w:ascii="Times New Roman" w:hAnsi="Times New Roman"/>
                <w:b w:val="false"/>
                <w:bCs w:val="false"/>
                <w:kern w:val="0"/>
                <w:sz w:val="20"/>
                <w:szCs w:val="20"/>
                <w:lang w:val="ru-RU" w:eastAsia="en-US" w:bidi="ar-SA"/>
              </w:rPr>
              <w:t>.</w:t>
            </w:r>
            <w:r>
              <w:rPr>
                <w:rFonts w:eastAsia="Calibri" w:cs="" w:ascii="Times New Roman" w:hAnsi="Times New Roman"/>
                <w:b w:val="false"/>
                <w:bCs w:val="false"/>
                <w:spacing w:val="-5"/>
                <w:kern w:val="0"/>
                <w:sz w:val="20"/>
                <w:szCs w:val="20"/>
                <w:lang w:val="ru-RU" w:eastAsia="en-US" w:bidi="ar-SA"/>
              </w:rPr>
              <w:t xml:space="preserve"> Башлана</w:t>
            </w:r>
            <w:r>
              <w:rPr>
                <w:rFonts w:eastAsia="Calibri" w:cs="" w:ascii="Times New Roman" w:hAnsi="Times New Roman"/>
                <w:b w:val="false"/>
                <w:bCs w:val="false"/>
                <w:spacing w:val="-9"/>
                <w:kern w:val="0"/>
                <w:sz w:val="20"/>
                <w:szCs w:val="20"/>
                <w:lang w:val="ru-RU" w:eastAsia="en-US" w:bidi="ar-SA"/>
              </w:rPr>
              <w:t xml:space="preserve"> </w:t>
            </w:r>
            <w:r>
              <w:rPr>
                <w:rFonts w:eastAsia="Calibri" w:cs="" w:ascii="Times New Roman" w:hAnsi="Times New Roman"/>
                <w:b w:val="false"/>
                <w:bCs w:val="false"/>
                <w:spacing w:val="1"/>
                <w:kern w:val="0"/>
                <w:sz w:val="20"/>
                <w:szCs w:val="20"/>
                <w:lang w:val="ru-RU" w:eastAsia="en-US" w:bidi="ar-SA"/>
              </w:rPr>
              <w:t>1</w:t>
            </w:r>
            <w:r>
              <w:rPr>
                <w:rFonts w:eastAsia="Calibri" w:cs="" w:ascii="Times New Roman" w:hAnsi="Times New Roman"/>
                <w:b w:val="false"/>
                <w:bCs w:val="false"/>
                <w:spacing w:val="1"/>
                <w:kern w:val="0"/>
                <w:sz w:val="20"/>
                <w:szCs w:val="20"/>
                <w:lang w:val="ru-RU" w:eastAsia="en-US" w:bidi="ar-SA"/>
              </w:rPr>
              <w:t>5</w:t>
            </w:r>
            <w:r>
              <w:rPr>
                <w:rFonts w:eastAsia="Calibri" w:cs="" w:ascii="Times New Roman" w:hAnsi="Times New Roman"/>
                <w:b w:val="false"/>
                <w:bCs w:val="false"/>
                <w:spacing w:val="1"/>
                <w:kern w:val="0"/>
                <w:sz w:val="20"/>
                <w:szCs w:val="20"/>
                <w:lang w:val="ru-RU" w:eastAsia="en-US" w:bidi="ar-SA"/>
              </w:rPr>
              <w:t>.00</w:t>
            </w:r>
            <w:r>
              <w:rPr>
                <w:rFonts w:eastAsia="Calibri" w:cs="" w:ascii="Times New Roman" w:hAnsi="Times New Roman"/>
                <w:b w:val="false"/>
                <w:bCs w:val="false"/>
                <w:spacing w:val="-6"/>
                <w:kern w:val="0"/>
                <w:sz w:val="20"/>
                <w:szCs w:val="20"/>
                <w:lang w:val="ru-RU" w:eastAsia="en-US" w:bidi="ar-SA"/>
              </w:rPr>
              <w:t xml:space="preserve"> сәгатьтә</w:t>
            </w:r>
            <w:r>
              <w:rPr>
                <w:rFonts w:eastAsia="Calibri" w:cs="" w:ascii="Times New Roman" w:hAnsi="Times New Roman"/>
                <w:b w:val="false"/>
                <w:bCs w:val="false"/>
                <w:spacing w:val="-5"/>
                <w:kern w:val="0"/>
                <w:sz w:val="20"/>
                <w:szCs w:val="20"/>
                <w:lang w:val="ru-RU" w:eastAsia="en-US" w:bidi="ar-SA"/>
              </w:rPr>
              <w:t xml:space="preserve"> </w:t>
            </w:r>
            <w:r>
              <w:rPr>
                <w:rFonts w:eastAsia="Calibri" w:cs="" w:ascii="Times New Roman" w:hAnsi="Times New Roman"/>
                <w:b w:val="false"/>
                <w:bCs w:val="false"/>
                <w:spacing w:val="-6"/>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ТР Яр Чаллы шәһәре, Хәсән Туфан пр., 23 , Башкарма комитет бинасы</w:t>
            </w:r>
            <w:r>
              <w:rPr>
                <w:rFonts w:eastAsia="Calibri" w:cs="" w:ascii="Times New Roman" w:hAnsi="Times New Roman"/>
                <w:kern w:val="0"/>
                <w:sz w:val="20"/>
                <w:szCs w:val="20"/>
                <w:lang w:val="ru-RU" w:eastAsia="en-US" w:bidi="ar-SA"/>
              </w:rPr>
              <w:t>, 400 зал, Азатлык мәйданы ягыннан керәсе (5 нче керү, чыгу урыны). Катнашучыларны теркәү 13.30 сәгатьтә башлана.</w:t>
            </w:r>
          </w:p>
        </w:tc>
      </w:tr>
      <w:tr>
        <w:trPr>
          <w:trHeight w:val="130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14.</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11"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сайтта:</w:t>
            </w:r>
          </w:p>
          <w:p>
            <w:pPr>
              <w:pStyle w:val="TableParagraph"/>
              <w:widowControl w:val="false"/>
              <w:suppressAutoHyphens w:val="true"/>
              <w:spacing w:lineRule="exact" w:line="205" w:before="0" w:after="0"/>
              <w:ind w:left="102" w:right="0"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w:t>
            </w:r>
            <w:r>
              <w:rPr>
                <w:rFonts w:eastAsia="Calibri" w:cs="" w:ascii="Times New Roman" w:hAnsi="Times New Roman"/>
                <w:spacing w:val="-7"/>
                <w:kern w:val="0"/>
                <w:sz w:val="20"/>
                <w:szCs w:val="20"/>
                <w:lang w:val="ru-RU" w:eastAsia="en-US" w:bidi="ar-SA"/>
              </w:rPr>
              <w:t xml:space="preserve"> 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4" w:before="11" w:after="0"/>
              <w:ind w:left="102" w:right="811"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tc>
      </w:tr>
      <w:tr>
        <w:trPr>
          <w:trHeight w:val="265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15.</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2"/>
                <w:lang w:val="en-US" w:eastAsia="en-US" w:bidi="ar-SA"/>
              </w:rPr>
              <w:t>Әлеге хәбәр итүне бастырырга</w:t>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both"/>
              <w:rPr/>
            </w:pPr>
            <w:r>
              <w:rPr>
                <w:rFonts w:eastAsia="Calibri" w:cs="" w:ascii="Times New Roman" w:hAnsi="Times New Roman"/>
                <w:kern w:val="0"/>
                <w:sz w:val="20"/>
                <w:szCs w:val="22"/>
                <w:lang w:val="en-US" w:eastAsia="en-US" w:bidi="ar-SA"/>
              </w:rPr>
              <w:t>сайтта:</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2"/>
                <w:lang w:val="ru-RU" w:eastAsia="en-US" w:bidi="ar-SA"/>
              </w:rPr>
              <w:t xml:space="preserve">- </w:t>
            </w:r>
            <w:r>
              <w:rPr>
                <w:rFonts w:eastAsia="Calibri" w:cs="" w:ascii="Times New Roman" w:hAnsi="Times New Roman"/>
                <w:spacing w:val="-7"/>
                <w:kern w:val="0"/>
                <w:sz w:val="20"/>
                <w:szCs w:val="20"/>
                <w:lang w:val="ru-RU" w:eastAsia="en-US" w:bidi="ar-SA"/>
              </w:rPr>
              <w:t>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p>
            <w:pPr>
              <w:pStyle w:val="ListParagraph"/>
              <w:widowControl w:val="false"/>
              <w:numPr>
                <w:ilvl w:val="0"/>
                <w:numId w:val="0"/>
              </w:numPr>
              <w:tabs>
                <w:tab w:val="clear" w:pos="720"/>
                <w:tab w:val="left" w:pos="220" w:leader="none"/>
              </w:tabs>
              <w:suppressAutoHyphens w:val="true"/>
              <w:spacing w:lineRule="exact" w:line="206" w:before="8" w:after="0"/>
              <w:ind w:left="102" w:right="0" w:hanging="0"/>
              <w:jc w:val="both"/>
              <w:rPr/>
            </w:pPr>
            <w:r>
              <w:rPr>
                <w:rFonts w:eastAsia="Calibri" w:cs="" w:ascii="Times New Roman" w:hAnsi="Times New Roman"/>
                <w:kern w:val="0"/>
                <w:sz w:val="20"/>
                <w:szCs w:val="22"/>
                <w:lang w:val="ru-RU" w:eastAsia="en-US" w:bidi="ar-SA"/>
              </w:rPr>
              <w:t>- «Челнинские известия</w:t>
            </w:r>
            <w:r>
              <w:rPr>
                <w:rFonts w:eastAsia="Calibri" w:cs="" w:ascii="Times New Roman" w:hAnsi="Times New Roman"/>
                <w:spacing w:val="-1"/>
                <w:kern w:val="0"/>
                <w:sz w:val="20"/>
                <w:szCs w:val="22"/>
                <w:lang w:val="ru-RU" w:eastAsia="en-US" w:bidi="ar-SA"/>
              </w:rPr>
              <w:t>», «Шәһри Чаллы» газеталарында.</w:t>
            </w:r>
          </w:p>
          <w:p>
            <w:pPr>
              <w:pStyle w:val="TableParagraph"/>
              <w:widowControl w:val="false"/>
              <w:suppressAutoHyphens w:val="true"/>
              <w:spacing w:lineRule="exact" w:line="218" w:before="0" w:after="0"/>
              <w:ind w:left="102" w:right="0" w:hanging="0"/>
              <w:jc w:val="both"/>
              <w:rPr/>
            </w:pPr>
            <w:r>
              <w:rPr>
                <w:rFonts w:eastAsia="Calibri" w:cs="" w:ascii="Times New Roman" w:hAnsi="Times New Roman"/>
                <w:spacing w:val="-1"/>
                <w:kern w:val="0"/>
                <w:sz w:val="20"/>
                <w:szCs w:val="22"/>
                <w:lang w:val="en-US" w:eastAsia="en-US" w:bidi="ar-SA"/>
              </w:rPr>
              <w:t>Махсус мәгълүмати</w:t>
            </w:r>
            <w:r>
              <w:rPr>
                <w:rFonts w:eastAsia="Calibri" w:cs="" w:ascii="Times New Roman" w:hAnsi="Times New Roman"/>
                <w:spacing w:val="-1"/>
                <w:kern w:val="0"/>
                <w:sz w:val="20"/>
                <w:szCs w:val="22"/>
                <w:lang w:val="ru-RU" w:eastAsia="en-US" w:bidi="ar-SA"/>
              </w:rPr>
              <w:t xml:space="preserve"> стендта</w:t>
            </w:r>
            <w:r>
              <w:rPr>
                <w:rFonts w:eastAsia="Calibri" w:cs="" w:ascii="Times New Roman" w:hAnsi="Times New Roman"/>
                <w:kern w:val="0"/>
                <w:sz w:val="20"/>
                <w:szCs w:val="22"/>
                <w:lang w:val="en-US" w:eastAsia="en-US" w:bidi="ar-SA"/>
              </w:rPr>
              <w:t>:</w:t>
            </w:r>
          </w:p>
          <w:p>
            <w:pPr>
              <w:pStyle w:val="ListParagraph"/>
              <w:widowControl w:val="false"/>
              <w:numPr>
                <w:ilvl w:val="0"/>
                <w:numId w:val="2"/>
              </w:numPr>
              <w:tabs>
                <w:tab w:val="clear" w:pos="720"/>
                <w:tab w:val="left" w:pos="220" w:leader="none"/>
              </w:tabs>
              <w:suppressAutoHyphens w:val="true"/>
              <w:spacing w:lineRule="auto" w:line="204" w:before="8" w:after="0"/>
              <w:ind w:left="102" w:right="571" w:hanging="0"/>
              <w:jc w:val="both"/>
              <w:rPr>
                <w:rFonts w:ascii="Tinos" w:hAnsi="Tinos"/>
              </w:rPr>
            </w:pPr>
            <w:r>
              <w:rPr>
                <w:rFonts w:ascii="Tinos" w:hAnsi="Tinos"/>
              </w:rPr>
              <w:t xml:space="preserve">Яр Чаллы шәһәре, Мир пр., 62 (3/16), 206 каб, 2 этаж адресы буенча урнашкан Яр Чаллы шәһәре МБ Башкарма комитетының </w:t>
            </w:r>
            <w:r>
              <w:rPr>
                <w:rFonts w:eastAsia="Calibri" w:cs="" w:ascii="Times New Roman" w:hAnsi="Times New Roman"/>
                <w:kern w:val="0"/>
                <w:sz w:val="20"/>
                <w:szCs w:val="20"/>
                <w:lang w:val="ru-RU" w:eastAsia="en-US" w:bidi="ar-SA"/>
              </w:rPr>
              <w:t>Архитектура, шәһәр төзелешен һәм торакны үстерү идарәсе</w:t>
            </w:r>
          </w:p>
          <w:p>
            <w:pPr>
              <w:pStyle w:val="ListParagraph"/>
              <w:widowControl w:val="false"/>
              <w:numPr>
                <w:ilvl w:val="0"/>
                <w:numId w:val="0"/>
              </w:numPr>
              <w:tabs>
                <w:tab w:val="clear" w:pos="720"/>
                <w:tab w:val="left" w:pos="220" w:leader="none"/>
              </w:tabs>
              <w:suppressAutoHyphens w:val="true"/>
              <w:spacing w:lineRule="auto" w:line="204" w:before="8" w:after="0"/>
              <w:ind w:left="102" w:right="571" w:hanging="0"/>
              <w:jc w:val="both"/>
              <w:rPr/>
            </w:pPr>
            <w:r>
              <w:rPr/>
            </w:r>
          </w:p>
          <w:p>
            <w:pPr>
              <w:pStyle w:val="ListParagraph"/>
              <w:widowControl w:val="false"/>
              <w:tabs>
                <w:tab w:val="clear" w:pos="720"/>
                <w:tab w:val="left" w:pos="220" w:leader="none"/>
              </w:tabs>
              <w:suppressAutoHyphens w:val="true"/>
              <w:spacing w:lineRule="auto" w:line="204" w:before="8" w:after="0"/>
              <w:ind w:left="102" w:right="57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16"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16.</w:t>
            </w:r>
          </w:p>
        </w:tc>
        <w:tc>
          <w:tcPr>
            <w:tcW w:w="38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Tinos" w:hAnsi="Tinos"/>
              </w:rPr>
            </w:pPr>
            <w:r>
              <w:rPr>
                <w:rFonts w:eastAsia="Calibri" w:cs="" w:ascii="Tinos" w:hAnsi="Tinos"/>
                <w:kern w:val="0"/>
                <w:sz w:val="22"/>
                <w:szCs w:val="22"/>
                <w:lang w:val="en-US" w:eastAsia="en-US" w:bidi="ar-SA"/>
              </w:rPr>
              <w:t>Хәбәр итүне урнаштыру датасы</w:t>
            </w:r>
          </w:p>
        </w:tc>
        <w:tc>
          <w:tcPr>
            <w:tcW w:w="6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Times New Roman" w:cs="Times New Roman" w:ascii="Times New Roman" w:hAnsi="Times New Roman"/>
                <w:kern w:val="0"/>
                <w:sz w:val="20"/>
                <w:szCs w:val="20"/>
                <w:lang w:val="ru-RU" w:eastAsia="en-US" w:bidi="ar-SA"/>
              </w:rPr>
              <w:t>19.08.2026</w:t>
            </w:r>
          </w:p>
        </w:tc>
      </w:tr>
    </w:tbl>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pPr>
      <w:r>
        <w:rPr>
          <w:sz w:val="22"/>
          <w:szCs w:val="22"/>
          <w:lang w:val="ru-RU"/>
        </w:rPr>
        <w:t>Хәбәр итү бастырып чыгарылган моменттан башлап җәмәгать тыңлауларында катнашучыларга хәбәр җиткерелгән дип санала.</w:t>
      </w:r>
    </w:p>
    <w:p>
      <w:pPr>
        <w:pStyle w:val="Style16"/>
        <w:spacing w:lineRule="exact" w:line="224"/>
        <w:ind w:left="811" w:hanging="0"/>
        <w:rPr>
          <w:sz w:val="22"/>
          <w:szCs w:val="22"/>
          <w:lang w:val="ru-RU"/>
        </w:rPr>
      </w:pPr>
      <w:r>
        <w:rPr>
          <w:sz w:val="22"/>
          <w:szCs w:val="22"/>
          <w:lang w:val="ru-RU"/>
        </w:rPr>
      </w:r>
    </w:p>
    <w:p>
      <w:pPr>
        <w:pStyle w:val="Normal"/>
        <w:rPr/>
      </w:pPr>
      <w:r>
        <w:rPr>
          <w:rFonts w:eastAsia="Times New Roman" w:cs="Times New Roman" w:ascii="Times New Roman" w:hAnsi="Times New Roman"/>
          <w:sz w:val="20"/>
          <w:szCs w:val="20"/>
          <w:lang w:val="ru-RU"/>
        </w:rPr>
        <w:t xml:space="preserve">                                                                                                               </w:t>
      </w:r>
    </w:p>
    <w:p>
      <w:pPr>
        <w:pStyle w:val="Normal"/>
        <w:jc w:val="center"/>
        <w:rPr/>
      </w:pPr>
      <w:r>
        <w:rPr>
          <w:rFonts w:eastAsia="Times New Roman" w:cs="Times New Roman" w:ascii="Times New Roman" w:hAnsi="Times New Roman"/>
          <w:lang w:val="ru-RU"/>
        </w:rPr>
        <w:t xml:space="preserve"> </w:t>
      </w:r>
      <w:r>
        <w:rPr>
          <w:rFonts w:eastAsia="Times New Roman" w:cs="Times New Roman" w:ascii="Times New Roman" w:hAnsi="Times New Roman"/>
          <w:lang w:val="ru-RU"/>
        </w:rPr>
        <w:t xml:space="preserve">Яр Чаллы шәһәренең Җирдән </w:t>
      </w:r>
    </w:p>
    <w:p>
      <w:pPr>
        <w:pStyle w:val="Normal"/>
        <w:jc w:val="center"/>
        <w:rPr/>
      </w:pPr>
      <w:r>
        <w:rPr>
          <w:rFonts w:eastAsia="Times New Roman" w:cs="Times New Roman" w:ascii="Times New Roman" w:hAnsi="Times New Roman"/>
          <w:lang w:val="ru-RU"/>
        </w:rPr>
        <w:t>файдалану һәм төзелеш комиссиясе</w:t>
      </w:r>
      <w:r>
        <w:rPr>
          <w:rFonts w:cs="Times New Roman" w:ascii="Times New Roman" w:hAnsi="Times New Roman"/>
          <w:lang w:val="ru-RU"/>
        </w:rPr>
        <w:t xml:space="preserve"> </w:t>
      </w:r>
    </w:p>
    <w:p>
      <w:pPr>
        <w:pStyle w:val="Normal"/>
        <w:spacing w:before="45" w:after="0"/>
        <w:ind w:left="0" w:right="19" w:firstLine="142"/>
        <w:jc w:val="center"/>
        <w:rPr>
          <w:sz w:val="24"/>
          <w:szCs w:val="24"/>
          <w:lang w:val="ru-RU"/>
        </w:rPr>
      </w:pPr>
      <w:r>
        <w:rPr>
          <w:rFonts w:eastAsia="Times New Roman" w:cs="Times New Roman" w:ascii="Times New Roman" w:hAnsi="Times New Roman"/>
          <w:sz w:val="6"/>
          <w:szCs w:val="6"/>
          <w:lang w:val="ru-RU"/>
        </w:rPr>
      </w:r>
    </w:p>
    <w:sectPr>
      <w:type w:val="nextPage"/>
      <w:pgSz w:w="11906" w:h="16838"/>
      <w:pgMar w:left="180" w:right="428" w:gutter="0" w:header="0" w:top="22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Tinos">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2" w:hanging="118"/>
      </w:pPr>
      <w:rPr>
        <w:rFonts w:ascii="Times New Roman" w:hAnsi="Times New Roman" w:cs="Times New Roman" w:hint="default"/>
        <w:sz w:val="20"/>
        <w:szCs w:val="20"/>
        <w:w w:val="99"/>
      </w:rPr>
    </w:lvl>
    <w:lvl w:ilvl="1">
      <w:start w:val="1"/>
      <w:numFmt w:val="bullet"/>
      <w:lvlText w:val=""/>
      <w:lvlJc w:val="left"/>
      <w:pPr>
        <w:tabs>
          <w:tab w:val="num" w:pos="0"/>
        </w:tabs>
        <w:ind w:left="799" w:hanging="118"/>
      </w:pPr>
      <w:rPr>
        <w:rFonts w:ascii="Symbol" w:hAnsi="Symbol" w:cs="Symbol" w:hint="default"/>
      </w:rPr>
    </w:lvl>
    <w:lvl w:ilvl="2">
      <w:start w:val="1"/>
      <w:numFmt w:val="bullet"/>
      <w:lvlText w:val=""/>
      <w:lvlJc w:val="left"/>
      <w:pPr>
        <w:tabs>
          <w:tab w:val="num" w:pos="0"/>
        </w:tabs>
        <w:ind w:left="1497" w:hanging="118"/>
      </w:pPr>
      <w:rPr>
        <w:rFonts w:ascii="Symbol" w:hAnsi="Symbol" w:cs="Symbol" w:hint="default"/>
      </w:rPr>
    </w:lvl>
    <w:lvl w:ilvl="3">
      <w:start w:val="1"/>
      <w:numFmt w:val="bullet"/>
      <w:lvlText w:val=""/>
      <w:lvlJc w:val="left"/>
      <w:pPr>
        <w:tabs>
          <w:tab w:val="num" w:pos="0"/>
        </w:tabs>
        <w:ind w:left="2194" w:hanging="118"/>
      </w:pPr>
      <w:rPr>
        <w:rFonts w:ascii="Symbol" w:hAnsi="Symbol" w:cs="Symbol" w:hint="default"/>
      </w:rPr>
    </w:lvl>
    <w:lvl w:ilvl="4">
      <w:start w:val="1"/>
      <w:numFmt w:val="bullet"/>
      <w:lvlText w:val=""/>
      <w:lvlJc w:val="left"/>
      <w:pPr>
        <w:tabs>
          <w:tab w:val="num" w:pos="0"/>
        </w:tabs>
        <w:ind w:left="2892" w:hanging="118"/>
      </w:pPr>
      <w:rPr>
        <w:rFonts w:ascii="Symbol" w:hAnsi="Symbol" w:cs="Symbol" w:hint="default"/>
      </w:rPr>
    </w:lvl>
    <w:lvl w:ilvl="5">
      <w:start w:val="1"/>
      <w:numFmt w:val="bullet"/>
      <w:lvlText w:val=""/>
      <w:lvlJc w:val="left"/>
      <w:pPr>
        <w:tabs>
          <w:tab w:val="num" w:pos="0"/>
        </w:tabs>
        <w:ind w:left="3589" w:hanging="118"/>
      </w:pPr>
      <w:rPr>
        <w:rFonts w:ascii="Symbol" w:hAnsi="Symbol" w:cs="Symbol" w:hint="default"/>
      </w:rPr>
    </w:lvl>
    <w:lvl w:ilvl="6">
      <w:start w:val="1"/>
      <w:numFmt w:val="bullet"/>
      <w:lvlText w:val=""/>
      <w:lvlJc w:val="left"/>
      <w:pPr>
        <w:tabs>
          <w:tab w:val="num" w:pos="0"/>
        </w:tabs>
        <w:ind w:left="4287" w:hanging="118"/>
      </w:pPr>
      <w:rPr>
        <w:rFonts w:ascii="Symbol" w:hAnsi="Symbol" w:cs="Symbol" w:hint="default"/>
      </w:rPr>
    </w:lvl>
    <w:lvl w:ilvl="7">
      <w:start w:val="1"/>
      <w:numFmt w:val="bullet"/>
      <w:lvlText w:val=""/>
      <w:lvlJc w:val="left"/>
      <w:pPr>
        <w:tabs>
          <w:tab w:val="num" w:pos="0"/>
        </w:tabs>
        <w:ind w:left="4984" w:hanging="118"/>
      </w:pPr>
      <w:rPr>
        <w:rFonts w:ascii="Symbol" w:hAnsi="Symbol" w:cs="Symbol" w:hint="default"/>
      </w:rPr>
    </w:lvl>
    <w:lvl w:ilvl="8">
      <w:start w:val="1"/>
      <w:numFmt w:val="bullet"/>
      <w:lvlText w:val=""/>
      <w:lvlJc w:val="left"/>
      <w:pPr>
        <w:tabs>
          <w:tab w:val="num" w:pos="0"/>
        </w:tabs>
        <w:ind w:left="5682" w:hanging="118"/>
      </w:pPr>
      <w:rPr>
        <w:rFonts w:ascii="Symbol" w:hAnsi="Symbol" w:cs="Symbol" w:hint="default"/>
      </w:rPr>
    </w:lvl>
  </w:abstractNum>
  <w:abstractNum w:abstractNumId="2">
    <w:lvl w:ilvl="0">
      <w:start w:val="1"/>
      <w:numFmt w:val="decimal"/>
      <w:lvlText w:val="%1)"/>
      <w:lvlJc w:val="left"/>
      <w:pPr>
        <w:tabs>
          <w:tab w:val="num" w:pos="0"/>
        </w:tabs>
        <w:ind w:left="102" w:hanging="218"/>
      </w:pPr>
      <w:rPr>
        <w:sz w:val="20"/>
        <w:spacing w:val="1"/>
        <w:szCs w:val="20"/>
        <w:w w:val="99"/>
        <w:rFonts w:ascii="Times New Roman" w:hAnsi="Times New Roman" w:eastAsia="Times New Roman"/>
      </w:rPr>
    </w:lvl>
    <w:lvl w:ilvl="1">
      <w:start w:val="1"/>
      <w:numFmt w:val="bullet"/>
      <w:lvlText w:val=""/>
      <w:lvlJc w:val="left"/>
      <w:pPr>
        <w:tabs>
          <w:tab w:val="num" w:pos="0"/>
        </w:tabs>
        <w:ind w:left="799" w:hanging="218"/>
      </w:pPr>
      <w:rPr>
        <w:rFonts w:ascii="Symbol" w:hAnsi="Symbol" w:cs="Symbol" w:hint="default"/>
      </w:rPr>
    </w:lvl>
    <w:lvl w:ilvl="2">
      <w:start w:val="1"/>
      <w:numFmt w:val="bullet"/>
      <w:lvlText w:val=""/>
      <w:lvlJc w:val="left"/>
      <w:pPr>
        <w:tabs>
          <w:tab w:val="num" w:pos="0"/>
        </w:tabs>
        <w:ind w:left="1497" w:hanging="218"/>
      </w:pPr>
      <w:rPr>
        <w:rFonts w:ascii="Symbol" w:hAnsi="Symbol" w:cs="Symbol" w:hint="default"/>
      </w:rPr>
    </w:lvl>
    <w:lvl w:ilvl="3">
      <w:start w:val="1"/>
      <w:numFmt w:val="bullet"/>
      <w:lvlText w:val=""/>
      <w:lvlJc w:val="left"/>
      <w:pPr>
        <w:tabs>
          <w:tab w:val="num" w:pos="0"/>
        </w:tabs>
        <w:ind w:left="2194" w:hanging="218"/>
      </w:pPr>
      <w:rPr>
        <w:rFonts w:ascii="Symbol" w:hAnsi="Symbol" w:cs="Symbol" w:hint="default"/>
      </w:rPr>
    </w:lvl>
    <w:lvl w:ilvl="4">
      <w:start w:val="1"/>
      <w:numFmt w:val="bullet"/>
      <w:lvlText w:val=""/>
      <w:lvlJc w:val="left"/>
      <w:pPr>
        <w:tabs>
          <w:tab w:val="num" w:pos="0"/>
        </w:tabs>
        <w:ind w:left="2892" w:hanging="218"/>
      </w:pPr>
      <w:rPr>
        <w:rFonts w:ascii="Symbol" w:hAnsi="Symbol" w:cs="Symbol" w:hint="default"/>
      </w:rPr>
    </w:lvl>
    <w:lvl w:ilvl="5">
      <w:start w:val="1"/>
      <w:numFmt w:val="bullet"/>
      <w:lvlText w:val=""/>
      <w:lvlJc w:val="left"/>
      <w:pPr>
        <w:tabs>
          <w:tab w:val="num" w:pos="0"/>
        </w:tabs>
        <w:ind w:left="3589" w:hanging="218"/>
      </w:pPr>
      <w:rPr>
        <w:rFonts w:ascii="Symbol" w:hAnsi="Symbol" w:cs="Symbol" w:hint="default"/>
      </w:rPr>
    </w:lvl>
    <w:lvl w:ilvl="6">
      <w:start w:val="1"/>
      <w:numFmt w:val="bullet"/>
      <w:lvlText w:val=""/>
      <w:lvlJc w:val="left"/>
      <w:pPr>
        <w:tabs>
          <w:tab w:val="num" w:pos="0"/>
        </w:tabs>
        <w:ind w:left="4287" w:hanging="218"/>
      </w:pPr>
      <w:rPr>
        <w:rFonts w:ascii="Symbol" w:hAnsi="Symbol" w:cs="Symbol" w:hint="default"/>
      </w:rPr>
    </w:lvl>
    <w:lvl w:ilvl="7">
      <w:start w:val="1"/>
      <w:numFmt w:val="bullet"/>
      <w:lvlText w:val=""/>
      <w:lvlJc w:val="left"/>
      <w:pPr>
        <w:tabs>
          <w:tab w:val="num" w:pos="0"/>
        </w:tabs>
        <w:ind w:left="4984" w:hanging="218"/>
      </w:pPr>
      <w:rPr>
        <w:rFonts w:ascii="Symbol" w:hAnsi="Symbol" w:cs="Symbol" w:hint="default"/>
      </w:rPr>
    </w:lvl>
    <w:lvl w:ilvl="8">
      <w:start w:val="1"/>
      <w:numFmt w:val="bullet"/>
      <w:lvlText w:val=""/>
      <w:lvlJc w:val="left"/>
      <w:pPr>
        <w:tabs>
          <w:tab w:val="num" w:pos="0"/>
        </w:tabs>
        <w:ind w:left="5682" w:hanging="218"/>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dd696a"/>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uiPriority w:val="1"/>
    <w:qFormat/>
    <w:rsid w:val="00f125b4"/>
    <w:rPr>
      <w:rFonts w:ascii="Times New Roman" w:hAnsi="Times New Roman" w:eastAsia="Times New Roman"/>
      <w:sz w:val="20"/>
      <w:szCs w:val="20"/>
    </w:rPr>
  </w:style>
  <w:style w:type="character" w:styleId="-">
    <w:name w:val="Hyperlink"/>
    <w:rPr>
      <w:color w:val="000080"/>
      <w:u w:val="single"/>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link w:val="Style14"/>
    <w:uiPriority w:val="1"/>
    <w:qFormat/>
    <w:rsid w:val="00dd696a"/>
    <w:pPr>
      <w:ind w:left="102" w:hanging="0"/>
    </w:pPr>
    <w:rPr>
      <w:rFonts w:ascii="Times New Roman" w:hAnsi="Times New Roman" w:eastAsia="Times New Roman"/>
      <w:sz w:val="20"/>
      <w:szCs w:val="20"/>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rsid w:val="00dd696a"/>
    <w:pPr/>
    <w:rPr/>
  </w:style>
  <w:style w:type="paragraph" w:styleId="TableParagraph" w:customStyle="1">
    <w:name w:val="Table Paragraph"/>
    <w:basedOn w:val="Normal"/>
    <w:uiPriority w:val="1"/>
    <w:qFormat/>
    <w:rsid w:val="00dd696a"/>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dd696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gradoctroitel@mail.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4D0C2E-C494-4DE2-9C13-05BF88695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Application>LibreOffice/7.5.6.2$Linux_X86_64 LibreOffice_project/50$Build-2</Application>
  <AppVersion>15.0000</AppVersion>
  <Pages>3</Pages>
  <Words>1012</Words>
  <Characters>7404</Characters>
  <CharactersWithSpaces>8457</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2026-02-09T11:45:00Z</dcterms:created>
  <dc:creator>Юлия</dc:creator>
  <dc:description/>
  <dc:language>ru-RU</dc:language>
  <cp:lastModifiedBy/>
  <cp:lastPrinted>2026-02-10T07:31:00Z</cp:lastPrinted>
  <dcterms:modified xsi:type="dcterms:W3CDTF">2026-08-17T14:22:10Z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