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53" w:rsidRDefault="000F58AA" w:rsidP="008439EE">
      <w:pPr>
        <w:pStyle w:val="af0"/>
        <w:spacing w:beforeAutospacing="0" w:afterAutospacing="0"/>
        <w:ind w:firstLine="709"/>
        <w:jc w:val="center"/>
      </w:pPr>
      <w:r>
        <w:rPr>
          <w:b/>
          <w:sz w:val="28"/>
          <w:szCs w:val="28"/>
        </w:rPr>
        <w:t>Информация</w:t>
      </w:r>
    </w:p>
    <w:p w:rsidR="00627753" w:rsidRDefault="000F58AA" w:rsidP="008439EE">
      <w:pPr>
        <w:pStyle w:val="af0"/>
        <w:shd w:val="clear" w:color="auto" w:fill="FFFFFF"/>
        <w:spacing w:beforeAutospacing="0" w:afterAutospacing="0"/>
        <w:ind w:firstLine="709"/>
        <w:jc w:val="center"/>
      </w:pPr>
      <w:r>
        <w:rPr>
          <w:b/>
          <w:sz w:val="28"/>
          <w:szCs w:val="28"/>
        </w:rPr>
        <w:t xml:space="preserve">о реализации национальных проектов </w:t>
      </w:r>
    </w:p>
    <w:p w:rsidR="00627753" w:rsidRDefault="000F58AA" w:rsidP="008439EE">
      <w:pPr>
        <w:pStyle w:val="af0"/>
        <w:shd w:val="clear" w:color="auto" w:fill="FFFFFF"/>
        <w:spacing w:beforeAutospacing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городе Набережные Челны </w:t>
      </w:r>
    </w:p>
    <w:p w:rsidR="00627753" w:rsidRDefault="000F58AA" w:rsidP="008439EE">
      <w:pPr>
        <w:pStyle w:val="af0"/>
        <w:shd w:val="clear" w:color="auto" w:fill="FFFFFF"/>
        <w:spacing w:beforeAutospacing="0" w:afterAutospacing="0"/>
        <w:ind w:firstLine="709"/>
        <w:jc w:val="center"/>
      </w:pPr>
      <w:r>
        <w:rPr>
          <w:b/>
          <w:sz w:val="28"/>
          <w:szCs w:val="28"/>
        </w:rPr>
        <w:t>в 1 квартале 2026 года</w:t>
      </w:r>
    </w:p>
    <w:p w:rsidR="00627753" w:rsidRDefault="00627753" w:rsidP="008439EE">
      <w:pPr>
        <w:pStyle w:val="af0"/>
        <w:shd w:val="clear" w:color="auto" w:fill="FFFFFF"/>
        <w:spacing w:beforeAutospacing="0" w:afterAutospacing="0"/>
        <w:ind w:firstLine="709"/>
        <w:jc w:val="center"/>
        <w:rPr>
          <w:b/>
          <w:sz w:val="28"/>
          <w:szCs w:val="28"/>
        </w:rPr>
      </w:pPr>
    </w:p>
    <w:p w:rsidR="00627753" w:rsidRDefault="000F58AA" w:rsidP="008439EE">
      <w:pPr>
        <w:pStyle w:val="af0"/>
        <w:tabs>
          <w:tab w:val="left" w:pos="142"/>
        </w:tabs>
        <w:spacing w:beforeAutospacing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«Продолжительная активная жизнь»</w:t>
      </w:r>
    </w:p>
    <w:p w:rsidR="00627753" w:rsidRDefault="00627753" w:rsidP="008439EE">
      <w:pPr>
        <w:pStyle w:val="af0"/>
        <w:tabs>
          <w:tab w:val="left" w:pos="142"/>
        </w:tabs>
        <w:spacing w:beforeAutospacing="0" w:afterAutospacing="0"/>
        <w:jc w:val="center"/>
        <w:rPr>
          <w:b/>
        </w:rPr>
      </w:pPr>
    </w:p>
    <w:p w:rsidR="00627753" w:rsidRDefault="000F58AA" w:rsidP="008439EE">
      <w:pPr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2026 году в рамках реализации национального проекта «Продолжительная и активная жизнь» по федеральной программе «Борьба с онкологическими заболеваниями» планируется модернизация медицинских изделий и иного оборудования в ГАУЗ «БСМП им. Р.С.Акчурина». </w:t>
      </w:r>
    </w:p>
    <w:p w:rsidR="00627753" w:rsidRDefault="00627753" w:rsidP="008439EE">
      <w:pPr>
        <w:tabs>
          <w:tab w:val="left" w:pos="709"/>
        </w:tabs>
        <w:contextualSpacing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627753" w:rsidRDefault="000F58AA" w:rsidP="008439EE">
      <w:pPr>
        <w:tabs>
          <w:tab w:val="left" w:pos="709"/>
        </w:tabs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 «Семья»</w:t>
      </w:r>
    </w:p>
    <w:p w:rsidR="00627753" w:rsidRDefault="000F58AA" w:rsidP="008439EE">
      <w:pPr>
        <w:shd w:val="clear" w:color="auto" w:fill="FFFFFF"/>
        <w:tabs>
          <w:tab w:val="left" w:pos="709"/>
        </w:tabs>
        <w:suppressAutoHyphens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рамках нацпроекта «Семья» предусмотрены мероприятия по поддержке семей и пожилых людей.</w:t>
      </w:r>
    </w:p>
    <w:p w:rsidR="00627753" w:rsidRDefault="000F58AA" w:rsidP="008439EE">
      <w:pPr>
        <w:shd w:val="clear" w:color="auto" w:fill="FFFFFF"/>
        <w:tabs>
          <w:tab w:val="left" w:pos="709"/>
        </w:tabs>
        <w:suppressAutoHyphens w:val="0"/>
        <w:spacing w:before="120"/>
        <w:ind w:firstLine="709"/>
        <w:jc w:val="both"/>
        <w:rPr>
          <w:rFonts w:ascii="Arial" w:eastAsia="Arial" w:hAnsi="Arial" w:cs="Times New Roman"/>
          <w:shd w:val="clear" w:color="auto" w:fill="FFFF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состав программы вошли региональные проекты:</w:t>
      </w:r>
    </w:p>
    <w:p w:rsidR="00627753" w:rsidRDefault="000F58AA" w:rsidP="008439EE">
      <w:pPr>
        <w:shd w:val="clear" w:color="auto" w:fill="FFFFFF"/>
        <w:suppressAutoHyphens w:val="0"/>
        <w:spacing w:before="120"/>
        <w:ind w:left="283" w:firstLine="709"/>
        <w:jc w:val="both"/>
        <w:rPr>
          <w:rFonts w:ascii="Arial" w:eastAsia="Arial" w:hAnsi="Arial" w:cs="Times New Roman"/>
          <w:shd w:val="clear" w:color="auto" w:fill="FFFF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2.1. «Поддержка семьи»</w:t>
      </w:r>
    </w:p>
    <w:p w:rsidR="00627753" w:rsidRDefault="000F58AA" w:rsidP="008439EE">
      <w:pPr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Управлением социальной защиты МТЗ и </w:t>
      </w:r>
      <w:r w:rsidR="00B669FB">
        <w:rPr>
          <w:rFonts w:ascii="Times New Roman" w:hAnsi="Times New Roman"/>
          <w:sz w:val="28"/>
          <w:szCs w:val="28"/>
        </w:rPr>
        <w:t>СЗ РТ в г. Набережные Челны в 1 </w:t>
      </w:r>
      <w:r>
        <w:rPr>
          <w:rFonts w:ascii="Times New Roman" w:hAnsi="Times New Roman"/>
          <w:sz w:val="28"/>
          <w:szCs w:val="28"/>
        </w:rPr>
        <w:t>квартале 2026г. с 68 малоимущими гражданами и семьями заключены социальные контракты, в том числе 46 семей с детьми до 18 лет (11 – многодетных).  Общая сумма оказанной государственной социальной помощи на основании социального контракта, по состоянию на 16.03.2026 г., с</w:t>
      </w:r>
      <w:r w:rsidR="00B669FB">
        <w:rPr>
          <w:rFonts w:ascii="Times New Roman" w:hAnsi="Times New Roman"/>
          <w:sz w:val="28"/>
          <w:szCs w:val="28"/>
        </w:rPr>
        <w:t>оставляет 76,6 </w:t>
      </w:r>
      <w:r>
        <w:rPr>
          <w:rFonts w:ascii="Times New Roman" w:hAnsi="Times New Roman"/>
          <w:sz w:val="28"/>
          <w:szCs w:val="28"/>
        </w:rPr>
        <w:t>млн руб.</w:t>
      </w:r>
    </w:p>
    <w:p w:rsidR="00627753" w:rsidRDefault="000F58AA" w:rsidP="008439EE">
      <w:pPr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2026 году в рамках федерального проекта «Поддержка семьи» </w:t>
      </w:r>
      <w:r w:rsidR="004B4EBE">
        <w:rPr>
          <w:rFonts w:ascii="Times New Roman" w:hAnsi="Times New Roman"/>
          <w:sz w:val="28"/>
          <w:szCs w:val="28"/>
        </w:rPr>
        <w:t xml:space="preserve">начат </w:t>
      </w:r>
      <w:r>
        <w:rPr>
          <w:rFonts w:ascii="Times New Roman" w:hAnsi="Times New Roman"/>
          <w:sz w:val="28"/>
          <w:szCs w:val="28"/>
        </w:rPr>
        <w:t>капитальный ремонт МБОУ «Детский сад комбинированного вида №10 «Маленький принц» на общую сумму 58,8 млн руб.</w:t>
      </w:r>
    </w:p>
    <w:p w:rsidR="00627753" w:rsidRDefault="000F58AA" w:rsidP="008439EE">
      <w:pPr>
        <w:shd w:val="clear" w:color="auto" w:fill="FFFFFF"/>
        <w:suppressAutoHyphens w:val="0"/>
        <w:spacing w:before="12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2.2. «Многодетная семья»</w:t>
      </w:r>
    </w:p>
    <w:p w:rsidR="00627753" w:rsidRDefault="000F58AA" w:rsidP="008439EE">
      <w:pPr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Отделением Республиканского центра материальной помощи в городе Набережные Челны компенсация части родительской платы за присмотр и уход за ребенком в дошкольных образовательных организациях за 1 квартал 2026 год предоставлена 14813 чел. на общую сумму 23,8 млн руб.</w:t>
      </w:r>
    </w:p>
    <w:p w:rsidR="00627753" w:rsidRDefault="000F58AA" w:rsidP="008439EE">
      <w:pPr>
        <w:suppressAutoHyphens w:val="0"/>
        <w:spacing w:before="120"/>
        <w:ind w:firstLine="709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2.3. «Старшее поколение»</w:t>
      </w:r>
    </w:p>
    <w:p w:rsidR="00627753" w:rsidRDefault="000F58AA" w:rsidP="008439EE">
      <w:pPr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 1 квартал 2026 года работниками отделения надомного социального обслуживания ГАУСО «КЦСОН «Доверие» обслужено 484 чел., из числа одиноких и одиноко проживающих граждан пожилого возраста и инвалидов, в том числе 173 человек в рамках системы долговременного ухода. На 17.03.2026 г. на социальном обслуживании в надомной форме находится 462 гражданина, в т.ч. 2 ветерана СВО, из них 162 получают услуги в рамках системы долговременного ухода, в т.ч. 1 ветеран СВО.</w:t>
      </w:r>
    </w:p>
    <w:p w:rsidR="00627753" w:rsidRDefault="000F58AA" w:rsidP="008439EE">
      <w:pPr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отделении функционирует пункт предоставления технических средств реабилитации в пользование. Пункт оснащен 197 техническими средствами реабилитации, которые передаются во временное безвозмездное пользование получателям социальных услуг Центра, а также инвалидам, которые еще не получили ТСР через Социальный фонд.  За 1 квартал 2026 года услугами проката </w:t>
      </w:r>
      <w:r>
        <w:rPr>
          <w:rFonts w:ascii="Times New Roman" w:hAnsi="Times New Roman"/>
          <w:sz w:val="28"/>
          <w:szCs w:val="28"/>
        </w:rPr>
        <w:lastRenderedPageBreak/>
        <w:t>воспользовались 35 граждан, в их пользовании 72 технических средства реабилитации (ходунки, кресло-коляска прогулочная, специализированная кровать, противопролежневый матрас, прикроватные столики, сиденье для ванны и др).</w:t>
      </w:r>
    </w:p>
    <w:p w:rsidR="00627753" w:rsidRDefault="000F58AA" w:rsidP="008439EE">
      <w:pPr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Центре «Доверие» реализуется инновационная технология «Школа ухода». Технология предусматривает проведение бесплатных обучающих занятий для родственников, специалистов и других лиц, осуществляющих уход за маломобильными гражданами на дому. Обучение в рамках образовательных мероприятий проекта в 1 квартале 2026 г. прошли – 70 родственников пожилых и инвалидов, 69 человек из числа персонала учреждений социального обслуживания. </w:t>
      </w:r>
    </w:p>
    <w:p w:rsidR="00627753" w:rsidRDefault="000F58AA" w:rsidP="008439EE">
      <w:pPr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 базе ГАУСО «КЦСОН «Доверие» МТЗ и СЗ РТ в 1 квартале 2026 года проведены 3 мероприятия Школы активного долголетия с охватом 36 участников старшего возраста. </w:t>
      </w:r>
    </w:p>
    <w:p w:rsidR="00627753" w:rsidRDefault="000F58AA" w:rsidP="008439EE">
      <w:pPr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Привлечено к участию в проведении мероприятий для получателей социальных услуг 16 «серебряных волонтера».</w:t>
      </w:r>
    </w:p>
    <w:p w:rsidR="00627753" w:rsidRDefault="00627753" w:rsidP="008439EE">
      <w:pPr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27753" w:rsidRDefault="000F58AA" w:rsidP="008439EE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2.4. «Семейные ценности и инфраструктура культуры»</w:t>
      </w:r>
    </w:p>
    <w:p w:rsidR="00627753" w:rsidRDefault="000F58AA" w:rsidP="008439EE">
      <w:pPr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апреле 2025 года Министерством культуры Республики Татарстан была направлена конкурсная заявка на техническое о</w:t>
      </w:r>
      <w:r w:rsidR="00B669FB">
        <w:rPr>
          <w:rFonts w:ascii="Times New Roman" w:hAnsi="Times New Roman"/>
          <w:sz w:val="28"/>
          <w:szCs w:val="28"/>
        </w:rPr>
        <w:t>снащение на сумму 4 552,15 тыс. руб. (из федерального бюджета 3 </w:t>
      </w:r>
      <w:r>
        <w:rPr>
          <w:rFonts w:ascii="Times New Roman" w:hAnsi="Times New Roman"/>
          <w:sz w:val="28"/>
          <w:szCs w:val="28"/>
        </w:rPr>
        <w:t xml:space="preserve">323,0 тыс. руб. </w:t>
      </w:r>
      <w:r w:rsidR="00B669FB">
        <w:rPr>
          <w:rFonts w:ascii="Times New Roman" w:hAnsi="Times New Roman"/>
          <w:sz w:val="28"/>
          <w:szCs w:val="28"/>
        </w:rPr>
        <w:t>и из Республиканского бюджета 1 </w:t>
      </w:r>
      <w:r>
        <w:rPr>
          <w:rFonts w:ascii="Times New Roman" w:hAnsi="Times New Roman"/>
          <w:sz w:val="28"/>
          <w:szCs w:val="28"/>
        </w:rPr>
        <w:t>229,15 тыс. руб.) МАУК города Набережные Челны «Историко-краеведческий музей» на 2026 год в рамках мероприятия «Техническое оснащение региональных и муниципальных музеев».</w:t>
      </w:r>
    </w:p>
    <w:p w:rsidR="00627753" w:rsidRDefault="000F58AA" w:rsidP="008439EE">
      <w:pPr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Мероприятие реализуется в рамках федерального проекта «Семейные ценности и инфраструктура культуры» национального проекта «Семья» и связано с формированием проекта федерального бюджета на 2026 год и на плановый период 2027—2028 годов.</w:t>
      </w:r>
    </w:p>
    <w:p w:rsidR="00627753" w:rsidRDefault="00643DEE" w:rsidP="008439EE">
      <w:pPr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F58AA">
        <w:rPr>
          <w:rFonts w:ascii="Times New Roman" w:hAnsi="Times New Roman"/>
          <w:sz w:val="28"/>
          <w:szCs w:val="28"/>
        </w:rPr>
        <w:t>Министерство культуры Республики Татарстан проводит закупочную систему, согласно которой на 11 марта состоялись торги по приобретению светодиодного экрана и ожидаются итоги по выставочным витринам.</w:t>
      </w:r>
    </w:p>
    <w:p w:rsidR="00627753" w:rsidRDefault="000F58AA" w:rsidP="008439EE">
      <w:pPr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Оснащение включает следующее оборудование:</w:t>
      </w:r>
    </w:p>
    <w:p w:rsidR="00627753" w:rsidRDefault="000F58AA" w:rsidP="008439EE">
      <w:pPr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светодиодный экран интерьерный монолитный;</w:t>
      </w:r>
    </w:p>
    <w:p w:rsidR="00627753" w:rsidRDefault="000F58AA" w:rsidP="008439EE">
      <w:pPr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радиогид система; </w:t>
      </w:r>
    </w:p>
    <w:p w:rsidR="00627753" w:rsidRDefault="000F58AA" w:rsidP="008439EE">
      <w:pPr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громкоговорители; </w:t>
      </w:r>
    </w:p>
    <w:p w:rsidR="00627753" w:rsidRDefault="000F58AA" w:rsidP="008439EE">
      <w:pPr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мольберты;</w:t>
      </w:r>
    </w:p>
    <w:p w:rsidR="00627753" w:rsidRDefault="000F58AA" w:rsidP="008439EE">
      <w:pPr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шкаф для хранения картин;</w:t>
      </w:r>
    </w:p>
    <w:p w:rsidR="00627753" w:rsidRDefault="000F58AA" w:rsidP="008439EE">
      <w:pPr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планшеты;</w:t>
      </w:r>
    </w:p>
    <w:p w:rsidR="00627753" w:rsidRDefault="000F58AA" w:rsidP="008439EE">
      <w:pPr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витрины выставочные;</w:t>
      </w:r>
    </w:p>
    <w:p w:rsidR="00627753" w:rsidRDefault="000F58AA" w:rsidP="008439EE">
      <w:pPr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мобильные выставочные витрины;</w:t>
      </w:r>
    </w:p>
    <w:p w:rsidR="00627753" w:rsidRDefault="000F58AA" w:rsidP="008439EE">
      <w:pPr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смарт-терминалы («Эвотор»);</w:t>
      </w:r>
    </w:p>
    <w:p w:rsidR="00627753" w:rsidRDefault="000F58AA" w:rsidP="008439EE">
      <w:pPr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ноутбуки;</w:t>
      </w:r>
    </w:p>
    <w:p w:rsidR="00627753" w:rsidRDefault="000F58AA" w:rsidP="008439EE">
      <w:pPr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телевизоры;</w:t>
      </w:r>
    </w:p>
    <w:p w:rsidR="00627753" w:rsidRDefault="000F58AA" w:rsidP="008439EE">
      <w:pPr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проекторы;</w:t>
      </w:r>
    </w:p>
    <w:p w:rsidR="00627753" w:rsidRDefault="000F58AA" w:rsidP="008439EE">
      <w:pPr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МФУ (Многофункциональные устройства).</w:t>
      </w:r>
    </w:p>
    <w:p w:rsidR="00627753" w:rsidRDefault="000F58AA" w:rsidP="008439EE">
      <w:pPr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Оснащение оборудованием обеспечит МАУК «Историко-краеведческий музей» современным техническим потенциалом, необходимым для эффективного исполнения возложенных функций и повышения привлекательности культурной среды региона.</w:t>
      </w:r>
    </w:p>
    <w:p w:rsidR="00627753" w:rsidRDefault="000F58AA" w:rsidP="008439EE">
      <w:pPr>
        <w:pStyle w:val="af0"/>
        <w:spacing w:beforeAutospacing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«Кадры»</w:t>
      </w:r>
    </w:p>
    <w:p w:rsidR="00627753" w:rsidRDefault="00627753" w:rsidP="008439EE">
      <w:pPr>
        <w:widowControl w:val="0"/>
        <w:suppressAutoHyphens w:val="0"/>
        <w:ind w:left="54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627753" w:rsidRDefault="000F58AA" w:rsidP="008439EE">
      <w:pPr>
        <w:widowControl w:val="0"/>
        <w:tabs>
          <w:tab w:val="left" w:pos="14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национального проекта «Кадры» реализуются инициативы:</w:t>
      </w:r>
    </w:p>
    <w:p w:rsidR="00627753" w:rsidRDefault="00627753" w:rsidP="008439EE">
      <w:pPr>
        <w:widowControl w:val="0"/>
        <w:tabs>
          <w:tab w:val="left" w:pos="142"/>
        </w:tabs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27753" w:rsidRDefault="000F58AA" w:rsidP="008439EE">
      <w:pPr>
        <w:widowControl w:val="0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7"/>
          <w:szCs w:val="27"/>
          <w:lang w:val="tt-RU" w:eastAsia="ru-RU"/>
        </w:rPr>
        <w:t xml:space="preserve">.1. </w:t>
      </w:r>
      <w:r>
        <w:rPr>
          <w:rFonts w:ascii="Times New Roman" w:eastAsia="Calibri" w:hAnsi="Times New Roman" w:cs="Times New Roman"/>
          <w:b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b/>
          <w:sz w:val="27"/>
          <w:szCs w:val="27"/>
          <w:lang w:val="tt-RU" w:eastAsia="ru-RU"/>
        </w:rPr>
        <w:t>Управление рынком труда»</w:t>
      </w:r>
    </w:p>
    <w:p w:rsidR="00627753" w:rsidRDefault="000F58AA" w:rsidP="008439EE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модернизации произошла реорганизация службы занятости Республики Татарстан. Центр занятости города Набережные Челны стал структурным подразделением ГКУ «Центр занятости Республики Татарстан» и переименован в Департамент ГКУ ЦЗН Республики Татарстан по г. Набережные Челны и Тукаевскому району.</w:t>
      </w:r>
    </w:p>
    <w:p w:rsidR="00627753" w:rsidRDefault="00627753" w:rsidP="008439EE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F58AA" w:rsidRDefault="000F58AA" w:rsidP="008439EE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27753" w:rsidRDefault="000F58AA" w:rsidP="008439EE">
      <w:pPr>
        <w:widowControl w:val="0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3.2. «Образование для рынка труда»</w:t>
      </w:r>
    </w:p>
    <w:p w:rsidR="00627753" w:rsidRDefault="000F58AA" w:rsidP="008439EE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1 квартале 2026 году в рамках федерального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«Образование для рынка труда» </w:t>
      </w:r>
      <w:r>
        <w:rPr>
          <w:rFonts w:ascii="Times New Roman" w:eastAsia="Calibri" w:hAnsi="Times New Roman" w:cs="Times New Roman"/>
          <w:sz w:val="28"/>
          <w:szCs w:val="28"/>
        </w:rPr>
        <w:t>в рамках реализации федерального проекта «Образование для рынка труда», входящего в национальный проект «Кадры»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организации профессионального обучения и дополнительного профессионального образования для нужд организаций оборонно-промышленного комплекса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реализовывались.</w:t>
      </w:r>
    </w:p>
    <w:p w:rsidR="00627753" w:rsidRDefault="00627753" w:rsidP="008439EE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7753" w:rsidRDefault="000F58AA" w:rsidP="008439EE">
      <w:pPr>
        <w:widowControl w:val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3.3. «Активные меры содействия занятости»</w:t>
      </w:r>
    </w:p>
    <w:p w:rsidR="00627753" w:rsidRDefault="000F58AA" w:rsidP="008439EE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рамках федерального проекта «Активные меры содействия занятости» национального проекта «Кадры» реализуется мероприятие по организации профессионального обучения и дополнительного профессионального образования граждан, с учетом потребности работодателей в кадрах и в целях приобретения или развития гражданами имеющихся знаний, компетенций и навыков для обеспечения их занятости. Реализация мероприятия регулируется постановлением Правительства РФ № 291 от 07.03.2025г.</w:t>
      </w:r>
    </w:p>
    <w:p w:rsidR="00627753" w:rsidRDefault="000F58AA" w:rsidP="008439EE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 может принять участие в мероприятиях по обучению, если он не являлся участником мероприятия по обучению в рамках федерального </w:t>
      </w:r>
      <w:hyperlink r:id="rId8" w:tooltip="./Планом%20реализации%20федерального%20проекта%22,%20Результатами%20федерального%20проекта%20по%20субъектам%20Российской%20Федерации%22)%20%7BКонсультантПлюс%7D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проекта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«Содействие занятости» национального </w:t>
      </w:r>
      <w:hyperlink r:id="rId9" w:tooltip="./%7BКонсультантПлюс%7D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проекта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«Демография», а также мероприятий по организации профессионального обучения и дополнительного профессионального образования работников организаций оборонно-промышленного комплекса. </w:t>
      </w:r>
    </w:p>
    <w:p w:rsidR="00627753" w:rsidRDefault="000F58AA" w:rsidP="008439EE">
      <w:pPr>
        <w:widowControl w:val="0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Принять участие в мероприятии по обучению имеют право граждане следующих категорий: </w:t>
      </w:r>
    </w:p>
    <w:p w:rsidR="00627753" w:rsidRDefault="000F58AA" w:rsidP="008439EE">
      <w:pPr>
        <w:shd w:val="clear" w:color="auto" w:fill="FFFFFF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а) граждане в возрасте 50 лет и старше, граждане предпенсионного возраста;</w:t>
      </w:r>
    </w:p>
    <w:p w:rsidR="00627753" w:rsidRDefault="000F58AA" w:rsidP="008439EE">
      <w:pPr>
        <w:shd w:val="clear" w:color="auto" w:fill="FFFFFF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б) граждане, фактически осуществляющие уход за ребенком и находящиеся в отпуске по уходу за ребенком до достижения им возраста 3 лет;</w:t>
      </w:r>
    </w:p>
    <w:p w:rsidR="00627753" w:rsidRDefault="000F58AA" w:rsidP="008439EE">
      <w:pPr>
        <w:shd w:val="clear" w:color="auto" w:fill="FFFFFF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в) женщины, не состоящие в трудовых отношениях и имеющие детей дошкольного возраста в возрасте от 0 до 7 лет включительно;</w:t>
      </w:r>
    </w:p>
    <w:p w:rsidR="00627753" w:rsidRDefault="000F58AA" w:rsidP="008439EE">
      <w:pPr>
        <w:shd w:val="clear" w:color="auto" w:fill="FFFFFF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г) инвалиды;</w:t>
      </w:r>
    </w:p>
    <w:p w:rsidR="00627753" w:rsidRDefault="000F58AA" w:rsidP="008439EE">
      <w:pPr>
        <w:shd w:val="clear" w:color="auto" w:fill="FFFFFF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д) граждане, обратившиеся в государственные учреждения, созданные субъектом Российской Федерации в целях осуществления полномочий в сфере занятости населения (далее - государственные учреждения службы занятости), в целях поиска работы;</w:t>
      </w:r>
    </w:p>
    <w:p w:rsidR="00627753" w:rsidRDefault="000F58AA" w:rsidP="008439EE">
      <w:pPr>
        <w:shd w:val="clear" w:color="auto" w:fill="FFFFFF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е) безработные граждане, зарегистрированные в государственных учреждениях службы занятости;</w:t>
      </w:r>
    </w:p>
    <w:p w:rsidR="00627753" w:rsidRDefault="000F58AA" w:rsidP="008439EE">
      <w:pPr>
        <w:shd w:val="clear" w:color="auto" w:fill="FFFFFF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ж) ветераны боевых действий, принимавшие участие (содействовавшие выполнению задач) в специальной военной операции на территориях Донецкой Народной Республики, Луганской Народной Республики и Украины с 24 февраля 2022 г., на территориях Запорожской области и Херсонской области с 30 сентября 2022 г., уволенные с военной службы (службы, работы);</w:t>
      </w:r>
    </w:p>
    <w:p w:rsidR="00627753" w:rsidRDefault="000F58AA" w:rsidP="008439EE">
      <w:pPr>
        <w:shd w:val="clear" w:color="auto" w:fill="FFFFFF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з) лица, принимавшие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 г.;</w:t>
      </w:r>
    </w:p>
    <w:p w:rsidR="00627753" w:rsidRDefault="000F58AA" w:rsidP="008439EE">
      <w:pPr>
        <w:shd w:val="clear" w:color="auto" w:fill="FFFFFF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и) члены семей лиц, указанных в </w:t>
      </w:r>
      <w:hyperlink r:id="rId10" w:anchor="/document/411617919/entry/10027" w:history="1">
        <w:r>
          <w:rPr>
            <w:rFonts w:ascii="Times New Roman" w:eastAsia="Times New Roman" w:hAnsi="Times New Roman" w:cs="Times New Roman"/>
            <w:color w:val="22272F"/>
            <w:sz w:val="28"/>
            <w:szCs w:val="28"/>
            <w:lang w:eastAsia="ru-RU"/>
          </w:rPr>
          <w:t>подпунктах «ж</w:t>
        </w:r>
      </w:hyperlink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 и </w:t>
      </w:r>
      <w:hyperlink r:id="rId11" w:anchor="/document/411617919/entry/10028" w:history="1">
        <w:r>
          <w:rPr>
            <w:rFonts w:ascii="Times New Roman" w:eastAsia="Times New Roman" w:hAnsi="Times New Roman" w:cs="Times New Roman"/>
            <w:color w:val="22272F"/>
            <w:sz w:val="28"/>
            <w:szCs w:val="28"/>
            <w:lang w:eastAsia="ru-RU"/>
          </w:rPr>
          <w:t>«з</w:t>
        </w:r>
      </w:hyperlink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 настоящего пункта, погибших (умерших) при выполнении задач в ходе специальной военной операции (боевых действий), члены семей лиц, указанных в подпунктах "ж" и "з" настоящего пункта, умерших после увольнения с военной службы (службы, работы), если смерть таких лиц наступила вследствие увечья (ранения, травмы, контузии) или заболевания, полученного ими при выполнении задач в ходе специальной военной операции (боевых действий);</w:t>
      </w:r>
    </w:p>
    <w:p w:rsidR="00627753" w:rsidRDefault="000F58AA" w:rsidP="008439EE">
      <w:pPr>
        <w:shd w:val="clear" w:color="auto" w:fill="FFFFFF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к) молодежь в возрасте до 35 лет включительно, относящаяся к категориям:</w:t>
      </w:r>
    </w:p>
    <w:p w:rsidR="00627753" w:rsidRDefault="000F58AA" w:rsidP="008439EE">
      <w:pPr>
        <w:shd w:val="clear" w:color="auto" w:fill="FFFFFF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-граждан, которые со дня окончания военной службы по призыву не являются занятыми в соответствии с законодательством Российской Федерации о занятости населения в течение 4 месяцев и более;</w:t>
      </w:r>
    </w:p>
    <w:p w:rsidR="00627753" w:rsidRDefault="000F58AA" w:rsidP="008439EE">
      <w:pPr>
        <w:shd w:val="clear" w:color="auto" w:fill="FFFFFF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-граждан, не имеющих среднего профессионального образования, высшего образования и не обучающихся по образовательным программам среднего профессионального или высшего образования (в случае обучения по основным программам профессионального обучения);</w:t>
      </w:r>
    </w:p>
    <w:p w:rsidR="00627753" w:rsidRDefault="000F58AA" w:rsidP="008439EE">
      <w:pPr>
        <w:shd w:val="clear" w:color="auto" w:fill="FFFFFF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-граждан, которые со дня выдачи им документа об образовании и (или) о квалификации не являются занятыми в соответствии с законодательством Российской Федерации о занятости населения в течение 4 месяцев и более.</w:t>
      </w:r>
    </w:p>
    <w:p w:rsidR="00627753" w:rsidRDefault="000F58AA" w:rsidP="008439E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профессионального обучения дополнительного профессионального образования осуществляется в соответствии с перечнем востребованных на рынке труда профессий, должностей, специальностей, утверждённым решением межведомственной рабочей группы по восстановлению рынка труда. </w:t>
      </w:r>
    </w:p>
    <w:p w:rsidR="00627753" w:rsidRDefault="000F58AA" w:rsidP="008439E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на обучение граждане подают на портале «Работа в России». </w:t>
      </w:r>
    </w:p>
    <w:p w:rsidR="00627753" w:rsidRDefault="000F58AA" w:rsidP="008439E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2026 году подали заявление на обучение 303 чел. Начало обучения образовательными организациями запланировано по графику начиная с 23 марта 2026г. </w:t>
      </w:r>
    </w:p>
    <w:p w:rsidR="00627753" w:rsidRDefault="000F58AA" w:rsidP="008439EE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 программе «Государственная поддержка стимулирования найма отдельных категорий граждан в соответствии с приказом Фонда пенсионного и социального страхования Российской Федерации от 29 декабря 2024 г. № 2714» в 2026 году трудоустроились 5 чел. в организации: ПАО «КАМАЗ», ООО «Спецодежда НЧ», ООО «СОЮЗ-ЛОГИСТИК», ООО «КАМАЗжилбыт», ООО АРЗ «Кориб».</w:t>
      </w:r>
    </w:p>
    <w:p w:rsidR="00627753" w:rsidRDefault="000F58AA" w:rsidP="008439EE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 программе «Мобильность 2.0» (развитие внутренней миграции) сотрудников привлекают на работу в другие города и регионы.</w:t>
      </w:r>
    </w:p>
    <w:p w:rsidR="00627753" w:rsidRDefault="000F58AA" w:rsidP="008439EE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начала 2026 года по программе «Государственная поддержка трудоустройства работников из другой местности или других территорий в соответствии с приказом Фонда пенсионного и социального страхования Российской Федерации от 29 декабря 2024 г. № </w:t>
      </w:r>
      <w:r w:rsidR="00B669FB">
        <w:rPr>
          <w:rFonts w:ascii="Times New Roman" w:eastAsia="Calibri" w:hAnsi="Times New Roman" w:cs="Times New Roman"/>
          <w:sz w:val="28"/>
          <w:szCs w:val="28"/>
          <w:lang w:eastAsia="ru-RU"/>
        </w:rPr>
        <w:t>2713» трудоустроен 1 чел. в ООО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«Федерал-Могул Набережные Челны» из Республики Удмуртии.</w:t>
      </w:r>
    </w:p>
    <w:p w:rsidR="00627753" w:rsidRDefault="00627753" w:rsidP="008439EE">
      <w:pPr>
        <w:widowControl w:val="0"/>
        <w:ind w:firstLine="709"/>
        <w:jc w:val="both"/>
        <w:rPr>
          <w:rFonts w:ascii="Times New Roman" w:eastAsia="Calibri" w:hAnsi="Times New Roman" w:cs="Times New Roman"/>
          <w:sz w:val="10"/>
          <w:szCs w:val="10"/>
          <w:lang w:eastAsia="ru-RU"/>
        </w:rPr>
      </w:pPr>
    </w:p>
    <w:p w:rsidR="00627753" w:rsidRDefault="000F58AA" w:rsidP="008439EE">
      <w:pPr>
        <w:widowControl w:val="0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3.4. «Человек труда»</w:t>
      </w:r>
    </w:p>
    <w:p w:rsidR="00627753" w:rsidRDefault="000F58AA" w:rsidP="008439EE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целях обеспечения кадровой потребности приоритетных для экономики предприятий, повышения информированности граждан о состоянии рынка труда, востребованных профессиях и содействия занятости граждан, ищущих работу, безработных, студентов 17 апреля 2026 года в Кадровом центре «Работа России» пройдет 1-й региональный этап Всероссийской ярмарки трудоустройства «Работа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России. Время возможностей».</w:t>
      </w:r>
    </w:p>
    <w:p w:rsidR="00627753" w:rsidRDefault="00627753" w:rsidP="008439EE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yellow"/>
          <w:lang w:val="tt-RU"/>
        </w:rPr>
      </w:pPr>
    </w:p>
    <w:p w:rsidR="00627753" w:rsidRDefault="000F58AA" w:rsidP="008439EE">
      <w:pPr>
        <w:pStyle w:val="af0"/>
        <w:spacing w:beforeAutospacing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«Молодежь и дети»</w:t>
      </w:r>
    </w:p>
    <w:p w:rsidR="00627753" w:rsidRDefault="00627753" w:rsidP="008439EE">
      <w:pPr>
        <w:pStyle w:val="af0"/>
        <w:spacing w:beforeAutospacing="0" w:afterAutospacing="0"/>
        <w:ind w:left="495"/>
        <w:rPr>
          <w:b/>
          <w:sz w:val="28"/>
          <w:szCs w:val="28"/>
          <w:highlight w:val="yellow"/>
        </w:rPr>
      </w:pPr>
    </w:p>
    <w:p w:rsidR="00627753" w:rsidRDefault="000F58AA" w:rsidP="008439EE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4.1. «Все лучшее детям»</w:t>
      </w:r>
    </w:p>
    <w:p w:rsidR="00627753" w:rsidRDefault="000F58AA" w:rsidP="008439EE">
      <w:pPr>
        <w:pStyle w:val="af5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В 2026 году</w:t>
      </w:r>
      <w: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рамках федерального проекта «Все лучшее детям»  ведется капиталь</w:t>
      </w:r>
      <w:r w:rsidR="00DD3F8C">
        <w:rPr>
          <w:rFonts w:ascii="Times New Roman" w:hAnsi="Times New Roman"/>
          <w:sz w:val="28"/>
          <w:szCs w:val="28"/>
          <w:lang w:val="tt-RU"/>
        </w:rPr>
        <w:t>ный ремонт школ №55 на сумму 135</w:t>
      </w:r>
      <w:r>
        <w:rPr>
          <w:rFonts w:ascii="Times New Roman" w:hAnsi="Times New Roman"/>
          <w:sz w:val="28"/>
          <w:szCs w:val="28"/>
          <w:lang w:val="tt-RU"/>
        </w:rPr>
        <w:t>,</w:t>
      </w:r>
      <w:r w:rsidR="00DD3F8C">
        <w:rPr>
          <w:rFonts w:ascii="Times New Roman" w:hAnsi="Times New Roman"/>
          <w:sz w:val="28"/>
          <w:szCs w:val="28"/>
          <w:lang w:val="tt-RU"/>
        </w:rPr>
        <w:t>9 млн руб., №58 на сумму 133</w:t>
      </w:r>
      <w:r w:rsidR="00B669FB">
        <w:rPr>
          <w:rFonts w:ascii="Times New Roman" w:hAnsi="Times New Roman"/>
          <w:sz w:val="28"/>
          <w:szCs w:val="28"/>
          <w:lang w:val="tt-RU"/>
        </w:rPr>
        <w:t> </w:t>
      </w:r>
      <w:r>
        <w:rPr>
          <w:rFonts w:ascii="Times New Roman" w:hAnsi="Times New Roman"/>
          <w:sz w:val="28"/>
          <w:szCs w:val="28"/>
          <w:lang w:val="tt-RU"/>
        </w:rPr>
        <w:t>млн руб., лицея №7</w:t>
      </w:r>
      <w:r w:rsidR="00DD3F8C">
        <w:rPr>
          <w:rFonts w:ascii="Times New Roman" w:hAnsi="Times New Roman"/>
          <w:sz w:val="28"/>
          <w:szCs w:val="28"/>
          <w:lang w:val="tt-RU"/>
        </w:rPr>
        <w:t>8 им. А.С.Пушкина, на сумму  140,2</w:t>
      </w:r>
      <w:r>
        <w:rPr>
          <w:rFonts w:ascii="Times New Roman" w:hAnsi="Times New Roman"/>
          <w:sz w:val="28"/>
          <w:szCs w:val="28"/>
          <w:lang w:val="tt-RU"/>
        </w:rPr>
        <w:t xml:space="preserve"> млн руб. Контроль за текущим финансированием и за объемом выполненных работ осуществляет ГИСУ.</w:t>
      </w:r>
    </w:p>
    <w:p w:rsidR="00627753" w:rsidRDefault="000F58AA" w:rsidP="008439EE">
      <w:pPr>
        <w:pStyle w:val="af5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Планируется оснащение кабинетов по предметам «ИЗО», «Музыка», «Физика» оборудованием, средствами обучения и воспитания по линии МО и НРТ, Министерства просвещения РФ  по школам №3, 5, 10, 25, 26, 33, 35, 37, 50, 61.</w:t>
      </w:r>
    </w:p>
    <w:p w:rsidR="00627753" w:rsidRDefault="000F58AA" w:rsidP="008439EE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4.2. «Педагоги и наставники»</w:t>
      </w:r>
    </w:p>
    <w:p w:rsidR="00627753" w:rsidRDefault="000F58AA" w:rsidP="008439EE">
      <w:pPr>
        <w:pStyle w:val="af5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В рамках реализации федерального проекта «Педагоги и наставники» на основании соглашения №92730000-1-2026-002 от 27.01.2026 бюджету города </w:t>
      </w:r>
      <w:r>
        <w:rPr>
          <w:rFonts w:ascii="Times New Roman" w:hAnsi="Times New Roman"/>
          <w:sz w:val="28"/>
          <w:szCs w:val="28"/>
          <w:lang w:val="tt-RU"/>
        </w:rPr>
        <w:lastRenderedPageBreak/>
        <w:t>выделены иные межбюджетные трансферты по финансовому обеспечению мероприятий по обеспечению деятельности советников директоров по воспитанию и взаимодействию с детскими объединениями в муниципальных общеобразовательных организациях в сумме 31,2 млн руб., о</w:t>
      </w:r>
      <w:r w:rsidR="00B669FB">
        <w:rPr>
          <w:rFonts w:ascii="Times New Roman" w:hAnsi="Times New Roman"/>
          <w:sz w:val="28"/>
          <w:szCs w:val="28"/>
          <w:lang w:val="tt-RU"/>
        </w:rPr>
        <w:t>своено на 17.03.2026 в сумме 8,</w:t>
      </w:r>
      <w:r>
        <w:rPr>
          <w:rFonts w:ascii="Times New Roman" w:hAnsi="Times New Roman"/>
          <w:sz w:val="28"/>
          <w:szCs w:val="28"/>
          <w:lang w:val="tt-RU"/>
        </w:rPr>
        <w:t>3 млн руб. (количество советников – 106).</w:t>
      </w:r>
    </w:p>
    <w:p w:rsidR="00627753" w:rsidRDefault="000F58AA" w:rsidP="008439EE">
      <w:pPr>
        <w:pStyle w:val="af5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На основании соглашения №92730000-1-2026-004 от 05.02.2026 выделены   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объединениями в муниципальных общеобразова</w:t>
      </w:r>
      <w:r w:rsidR="00B669FB">
        <w:rPr>
          <w:rFonts w:ascii="Times New Roman" w:hAnsi="Times New Roman"/>
          <w:sz w:val="28"/>
          <w:szCs w:val="28"/>
          <w:lang w:val="tt-RU"/>
        </w:rPr>
        <w:t>тельных организациях в сумме 8,</w:t>
      </w:r>
      <w:r>
        <w:rPr>
          <w:rFonts w:ascii="Times New Roman" w:hAnsi="Times New Roman"/>
          <w:sz w:val="28"/>
          <w:szCs w:val="28"/>
          <w:lang w:val="tt-RU"/>
        </w:rPr>
        <w:t>9 млн  руб., освоено на 17.03.2026 в сумме 2,1 млн руб. (количество советников - 106).</w:t>
      </w:r>
    </w:p>
    <w:p w:rsidR="00B669FB" w:rsidRDefault="000F58AA" w:rsidP="008439EE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</w:t>
      </w:r>
      <w:r w:rsidR="00B669FB">
        <w:rPr>
          <w:rFonts w:ascii="Times New Roman" w:hAnsi="Times New Roman"/>
          <w:sz w:val="28"/>
          <w:szCs w:val="28"/>
          <w:lang w:val="tt-RU"/>
        </w:rPr>
        <w:t>выделена субвенция в сумме 217,</w:t>
      </w:r>
      <w:r>
        <w:rPr>
          <w:rFonts w:ascii="Times New Roman" w:hAnsi="Times New Roman"/>
          <w:sz w:val="28"/>
          <w:szCs w:val="28"/>
          <w:lang w:val="tt-RU"/>
        </w:rPr>
        <w:t xml:space="preserve">1 млн  руб., освоено на 17.03.2026 в сумме 63,3 млн  руб. (количество педагогов – 2470).    </w:t>
      </w:r>
    </w:p>
    <w:p w:rsidR="00627753" w:rsidRDefault="00627753" w:rsidP="008439EE">
      <w:pPr>
        <w:spacing w:after="120"/>
        <w:ind w:firstLine="708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27753" w:rsidRDefault="000F58AA" w:rsidP="008439EE">
      <w:pPr>
        <w:ind w:firstLine="708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sz w:val="28"/>
          <w:szCs w:val="28"/>
        </w:rPr>
        <w:t>4.3. «Россия – страна возможностей»</w:t>
      </w:r>
    </w:p>
    <w:p w:rsidR="00627753" w:rsidRDefault="000F58AA" w:rsidP="008439EE">
      <w:pPr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2026</w:t>
      </w:r>
      <w:r>
        <w:rPr>
          <w:rFonts w:ascii="Times New Roman" w:hAnsi="Times New Roman"/>
          <w:color w:val="000000"/>
          <w:sz w:val="28"/>
          <w:szCs w:val="28"/>
        </w:rPr>
        <w:t xml:space="preserve"> году в рамках федеральной программы «Регион для молодых», а также республиканской программы реновации объектов молодежной политики проводится капитальный ремонт МАУ «Молодежный центр «З</w:t>
      </w:r>
      <w:r w:rsidR="00B669FB">
        <w:rPr>
          <w:rFonts w:ascii="Times New Roman" w:hAnsi="Times New Roman"/>
          <w:color w:val="000000"/>
          <w:sz w:val="28"/>
          <w:szCs w:val="28"/>
        </w:rPr>
        <w:t xml:space="preserve">аман» на общую сумму 190,7 млн </w:t>
      </w:r>
      <w:r>
        <w:rPr>
          <w:rFonts w:ascii="Times New Roman" w:hAnsi="Times New Roman"/>
          <w:color w:val="000000"/>
          <w:sz w:val="28"/>
          <w:szCs w:val="28"/>
        </w:rPr>
        <w:t>руб.</w:t>
      </w:r>
    </w:p>
    <w:p w:rsidR="00627753" w:rsidRDefault="000F58AA" w:rsidP="008439E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Запланированный объем финансирования составляет:</w:t>
      </w:r>
    </w:p>
    <w:p w:rsidR="00627753" w:rsidRDefault="000F58AA" w:rsidP="008439EE">
      <w:pPr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федеральный бюджет — 66,2 млн руб.;  </w:t>
      </w:r>
    </w:p>
    <w:p w:rsidR="00627753" w:rsidRDefault="000F58AA" w:rsidP="008439EE">
      <w:pPr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республиканский бюджет — 124,5 млн руб.</w:t>
      </w:r>
    </w:p>
    <w:p w:rsidR="00627753" w:rsidRDefault="00627753" w:rsidP="008439EE">
      <w:pPr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 w:bidi="hi-IN"/>
        </w:rPr>
      </w:pPr>
    </w:p>
    <w:p w:rsidR="00627753" w:rsidRDefault="000F58AA" w:rsidP="008439EE">
      <w:pPr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 w:bidi="hi-IN"/>
        </w:rPr>
        <w:t>5.  «Инфраструктура для жизни»</w:t>
      </w:r>
    </w:p>
    <w:p w:rsidR="00627753" w:rsidRDefault="00627753" w:rsidP="008439EE">
      <w:pPr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 w:bidi="hi-IN"/>
        </w:rPr>
      </w:pPr>
    </w:p>
    <w:p w:rsidR="00627753" w:rsidRDefault="000F58AA" w:rsidP="008439EE">
      <w:pPr>
        <w:tabs>
          <w:tab w:val="left" w:pos="113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5.1. «Формирование комфортной городской среды»</w:t>
      </w:r>
    </w:p>
    <w:p w:rsidR="00627753" w:rsidRDefault="000F58AA" w:rsidP="008439EE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 рамках регионального проекта «Формирование комфортной городской среды» в 2026 году ведутся работы по благоустройству:</w:t>
      </w:r>
    </w:p>
    <w:p w:rsidR="00627753" w:rsidRDefault="000F58AA" w:rsidP="008439EE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  <w:t xml:space="preserve">- парка «Прибрежный» (5 этап) 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 xml:space="preserve">сумму 45,1 млн руб.; </w:t>
      </w:r>
    </w:p>
    <w:p w:rsidR="00627753" w:rsidRDefault="000F58AA" w:rsidP="008439EE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ab/>
        <w:t xml:space="preserve">- набережной имени Фикрята Табеева (4 этап) на сумму 106 млн руб. </w:t>
      </w:r>
    </w:p>
    <w:p w:rsidR="00627753" w:rsidRDefault="000F58AA" w:rsidP="008439EE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ab/>
        <w:t>По всем пространствам проекты разработаны с учетом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пожеланий жителей, которые были озвучены на общественных слушаниях.</w:t>
      </w:r>
    </w:p>
    <w:p w:rsidR="00627753" w:rsidRDefault="00B669FB" w:rsidP="008439EE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  <w:t>Так</w:t>
      </w:r>
      <w:r w:rsidR="000F58A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же в рамках регионального проекта «Формирование комфортной городской среды» планируется ремонт асфальтобетонного покрытия проспекта Мусы Джалиля на общую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сумму </w:t>
      </w:r>
      <w:r w:rsidR="000F58A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824, 3 млн руб.</w:t>
      </w:r>
    </w:p>
    <w:p w:rsidR="000F58AA" w:rsidRDefault="000F58AA" w:rsidP="008439EE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627753" w:rsidRDefault="000F58AA" w:rsidP="008439EE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5.2. «Модернизация коммунальной инфраструктуры»</w:t>
      </w:r>
    </w:p>
    <w:p w:rsidR="00B669FB" w:rsidRDefault="000F58AA" w:rsidP="008439EE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 рамках регионального проекта "Модернизация коммунальной инфраструктуры" в 2026 году планируется:</w:t>
      </w:r>
    </w:p>
    <w:p w:rsidR="00627753" w:rsidRPr="00B669FB" w:rsidRDefault="000F58AA" w:rsidP="008439EE">
      <w:pPr>
        <w:pStyle w:val="ae"/>
        <w:numPr>
          <w:ilvl w:val="0"/>
          <w:numId w:val="1"/>
        </w:numPr>
        <w:tabs>
          <w:tab w:val="left" w:pos="709"/>
          <w:tab w:val="left" w:pos="170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B669F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строительство систе</w:t>
      </w:r>
      <w:r w:rsidR="00B669FB" w:rsidRPr="00B669F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м водоотведения  на общую сумму </w:t>
      </w:r>
      <w:r w:rsidR="00B669F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293,1 </w:t>
      </w:r>
      <w:r w:rsidR="00B669FB" w:rsidRPr="00B669F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млн</w:t>
      </w:r>
      <w:r w:rsidR="00B669F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 </w:t>
      </w:r>
      <w:r w:rsidR="00B669FB" w:rsidRPr="00B669F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руб.</w:t>
      </w:r>
      <w:r w:rsidRPr="00B669F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;</w:t>
      </w:r>
    </w:p>
    <w:p w:rsidR="00627753" w:rsidRDefault="000F58AA" w:rsidP="008439EE">
      <w:pPr>
        <w:pStyle w:val="ae"/>
        <w:numPr>
          <w:ilvl w:val="0"/>
          <w:numId w:val="1"/>
        </w:numPr>
        <w:tabs>
          <w:tab w:val="left" w:pos="709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строительство хозяйственно-бытовой ка</w:t>
      </w:r>
      <w:r w:rsidR="00B669F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нализации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на сумму </w:t>
      </w:r>
      <w:r w:rsidR="00B669F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207,2 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млн руб.;</w:t>
      </w:r>
    </w:p>
    <w:p w:rsidR="00627753" w:rsidRDefault="000F58AA" w:rsidP="008439EE">
      <w:pPr>
        <w:pStyle w:val="ae"/>
        <w:numPr>
          <w:ilvl w:val="0"/>
          <w:numId w:val="1"/>
        </w:numPr>
        <w:tabs>
          <w:tab w:val="left" w:pos="709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капитальный ремонт инженерных сетей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  <w:t xml:space="preserve"> на сумму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  <w:t>1 350,9 млн руб.</w:t>
      </w:r>
    </w:p>
    <w:p w:rsidR="00627753" w:rsidRDefault="008439EE" w:rsidP="008439EE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0F58A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Определены подрядчики работ и объекты подлежащие модернизации инженерной инфраструктуры.</w:t>
      </w:r>
    </w:p>
    <w:p w:rsidR="00627753" w:rsidRDefault="000F58AA" w:rsidP="008439EE">
      <w:pPr>
        <w:tabs>
          <w:tab w:val="left" w:pos="1134"/>
        </w:tabs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ab/>
      </w:r>
    </w:p>
    <w:p w:rsidR="00627753" w:rsidRDefault="000F58AA" w:rsidP="008439EE">
      <w:pPr>
        <w:tabs>
          <w:tab w:val="left" w:pos="113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5.3. «Жилье»</w:t>
      </w:r>
    </w:p>
    <w:p w:rsidR="00627753" w:rsidRDefault="000F58AA" w:rsidP="008439EE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План ввода жилья по городу Набережные Челны в 2026 году – 300 тыс. кв. м.</w:t>
      </w:r>
    </w:p>
    <w:p w:rsidR="00627753" w:rsidRDefault="000F58AA" w:rsidP="008439EE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 сегодняшний день введено в эксплуатацию 84,513 тыс. кв. м., в том числе:</w:t>
      </w:r>
    </w:p>
    <w:p w:rsidR="00627753" w:rsidRDefault="000F58AA" w:rsidP="008439EE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  <w:t>- инвестиционное жилье – 80,723 тыс. кв. м.;</w:t>
      </w:r>
    </w:p>
    <w:p w:rsidR="00627753" w:rsidRDefault="000F58AA" w:rsidP="008439EE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  <w:t>- индивидуальное жилищное строительство – 3,790 тыс. кв. м.</w:t>
      </w:r>
    </w:p>
    <w:p w:rsidR="00627753" w:rsidRPr="008439EE" w:rsidRDefault="00627753" w:rsidP="008439EE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627753" w:rsidRDefault="000F58AA" w:rsidP="008439EE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6. «Экологическое благополучие»</w:t>
      </w:r>
    </w:p>
    <w:p w:rsidR="00627753" w:rsidRDefault="00627753" w:rsidP="008439EE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27753" w:rsidRDefault="000F58AA" w:rsidP="008439EE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  <w:t>6.1. «Вода России»</w:t>
      </w:r>
    </w:p>
    <w:p w:rsidR="00627753" w:rsidRDefault="000F58AA" w:rsidP="008439EE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  <w:t>В рамках реализации федерального проекта «Вода России», национального проекта «Экологическое благополучие» заключён контракт с компанией ООО «Ядран-Строй» по очистке реки Мелекеска на 2025-2027 гг. Общая сметная стоимость мероприятий по оздоровлению реки Мелекеска составляет 318 млн руб.  В 2025 году проведена расчистка 1250 метров русла реки от иловых отложений, сформирована береговая линия на участке протяженностью 980 метров.</w:t>
      </w:r>
    </w:p>
    <w:p w:rsidR="00627753" w:rsidRDefault="000F58AA" w:rsidP="008439EE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  <w:t>В настоящее время выполнены работы на сумму 44 млн  руб. в соответствии с планом реализации проекта.</w:t>
      </w:r>
    </w:p>
    <w:p w:rsidR="000F58AA" w:rsidRDefault="000F58AA" w:rsidP="008439EE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27753" w:rsidRDefault="000F58AA" w:rsidP="008439EE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7. «Эффективная конкурентная экономика»</w:t>
      </w:r>
    </w:p>
    <w:p w:rsidR="00627753" w:rsidRDefault="00627753" w:rsidP="008439EE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27753" w:rsidRDefault="000F58AA" w:rsidP="008439EE">
      <w:pPr>
        <w:spacing w:after="120"/>
        <w:ind w:firstLine="495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7.1. «Малое и среднее предпринимательство и поддержка </w:t>
      </w:r>
      <w:r>
        <w:rPr>
          <w:rFonts w:ascii="Times New Roman" w:hAnsi="Times New Roman" w:cs="Times New Roman"/>
          <w:b/>
          <w:sz w:val="28"/>
          <w:szCs w:val="28"/>
        </w:rPr>
        <w:t>индивидуальной предпринимательской инициативы»</w:t>
      </w:r>
    </w:p>
    <w:p w:rsidR="00627753" w:rsidRDefault="000F58AA" w:rsidP="008439EE">
      <w:pPr>
        <w:tabs>
          <w:tab w:val="left" w:pos="1134"/>
        </w:tabs>
        <w:spacing w:after="12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8439E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На 01.02.2025 количество зарегистрированных налогоплательщиков, выбравших специальный </w:t>
      </w:r>
      <w:r w:rsidR="008439EE" w:rsidRPr="008439E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налоговый режим, составило 63966</w:t>
      </w:r>
      <w:r w:rsidRPr="008439E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чел.</w:t>
      </w:r>
      <w:bookmarkStart w:id="0" w:name="_GoBack"/>
      <w:bookmarkEnd w:id="0"/>
    </w:p>
    <w:p w:rsidR="00627753" w:rsidRDefault="000F58AA" w:rsidP="008439EE">
      <w:pPr>
        <w:tabs>
          <w:tab w:val="left" w:pos="1134"/>
        </w:tabs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  <w:t xml:space="preserve">По итогам 2025 года сумма государственной поддержки малых предприятий составила 14170,7 млн руб., в том числе: </w:t>
      </w:r>
    </w:p>
    <w:p w:rsidR="00627753" w:rsidRDefault="000F58AA" w:rsidP="008439EE">
      <w:pPr>
        <w:tabs>
          <w:tab w:val="left" w:pos="1134"/>
        </w:tabs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  <w:t>- по программам НО «Фонд поддержки предпринимательства Республики Татарстан» микрозаймы выданы 91</w:t>
      </w:r>
      <w:r w:rsidR="00B669F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предприятию на сумму 301,6 млн 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руб.; </w:t>
      </w:r>
    </w:p>
    <w:p w:rsidR="00627753" w:rsidRDefault="000F58AA" w:rsidP="008439EE">
      <w:pPr>
        <w:tabs>
          <w:tab w:val="left" w:pos="1134"/>
        </w:tabs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  <w:t>- по предоставленным  гарантиям и  поручительствам   Г</w:t>
      </w:r>
      <w:r w:rsidR="00B669F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арантийного фонда РТ 74 компаниям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на сумму 359,3 млн руб.</w:t>
      </w:r>
    </w:p>
    <w:p w:rsidR="00627753" w:rsidRDefault="000F58AA" w:rsidP="008439EE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  <w:t>С предприятиями малого бизнеса проведены встречи:</w:t>
      </w:r>
    </w:p>
    <w:p w:rsidR="00627753" w:rsidRDefault="000F58AA" w:rsidP="008439EE">
      <w:pPr>
        <w:tabs>
          <w:tab w:val="left" w:pos="1134"/>
        </w:tabs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-  12.03.2025 - семинар на тему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«Путь продавца на Wildberries»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.</w:t>
      </w:r>
    </w:p>
    <w:p w:rsidR="00627753" w:rsidRDefault="000F58AA" w:rsidP="008439EE">
      <w:pPr>
        <w:tabs>
          <w:tab w:val="left" w:pos="1134"/>
        </w:tabs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</w:p>
    <w:p w:rsidR="00627753" w:rsidRDefault="000F58AA" w:rsidP="008439EE">
      <w:pPr>
        <w:spacing w:after="120"/>
        <w:ind w:firstLine="495"/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.2. «Производительность труда»</w:t>
      </w:r>
    </w:p>
    <w:p w:rsidR="00627753" w:rsidRDefault="000F58AA" w:rsidP="008439EE">
      <w:pPr>
        <w:tabs>
          <w:tab w:val="left" w:pos="1134"/>
        </w:tabs>
        <w:jc w:val="both"/>
      </w:pPr>
      <w:r>
        <w:rPr>
          <w:rFonts w:ascii="Nimbus Roman" w:eastAsia="Calibri" w:hAnsi="Nimbus Roman" w:cs="Times New Roman"/>
          <w:color w:val="000000"/>
          <w:sz w:val="29"/>
          <w:szCs w:val="29"/>
          <w:lang w:val="tt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 2025 году продолжением национального проекта «Производительность труда» стал федеральный проект «Производительность труда», входящий в структуру нового национального проекта «Эффективная и конкурентная экономика».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  <w:t xml:space="preserve">Участниками федерального проекта «Производительность труда» стали 76 предприятий города Набережные Челны, что составляет 22 % от всех участников проекта Республики Татарстан.  Из них с начала 2025 года участниками проекта стали 10 предприятий: ООО НПП «Хортум», ООО «КАМЭР», ООО «Завод Ру-Драйв», ООО «ИнТехПласт»,  ООО «Камский механический завод», ООО «ПКФ «Автокомпоненты-Трейд», ООО «Челныводоканал», ООО «КАМАЗ тормозные системы», ООО «Строй-Деталь» и ООО «Биполь». </w:t>
      </w:r>
    </w:p>
    <w:p w:rsidR="00627753" w:rsidRDefault="000F58AA" w:rsidP="008439EE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  <w:t xml:space="preserve">По состоянию на 16.03.2026 участниками федерального проекта «Производительность труда» являются 76 предприятий города (21,5% из 354 предприятий участников Республики Татарстан). </w:t>
      </w:r>
    </w:p>
    <w:p w:rsidR="00627753" w:rsidRDefault="000F58AA" w:rsidP="008439EE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  <w:t xml:space="preserve"> В настоящее время рассматриваются  заявки 4-х предприятий: ООО «Техника-Агро» (запущена работа по согласованию заключения с ними соглашения), ООО «Завод Автогигант», ООО «Венские Вафли» и ООО «АНТ». Еще 3 предприятия (ООО «Кам-Ключ», ООО НПФ «ТехСмарт» и ООО «Тепловые Системы») с прошлого года подали заявки и находятся на этапе планирования визита.</w:t>
      </w:r>
    </w:p>
    <w:p w:rsidR="00627753" w:rsidRDefault="000F58AA" w:rsidP="008439EE">
      <w:pPr>
        <w:tabs>
          <w:tab w:val="left" w:pos="1134"/>
        </w:tabs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  <w:t>19 февраля в Исполнительном комитете города Набережные Челны состоялась 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tt-RU" w:eastAsia="ru-RU"/>
        </w:rPr>
        <w:t xml:space="preserve">стреча представителя Регионального центра компетенций в сфере производительности труда Республики Татарстан (РЦК РТ) с 20 предприятиями   реального сектора экономики города. Предприятиям рассказали о государственной мере поддержки, предусмотренной в рамках федерального проекта «Производительность труда». </w:t>
      </w:r>
    </w:p>
    <w:p w:rsidR="00627753" w:rsidRDefault="000F58AA" w:rsidP="008439EE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  <w:t xml:space="preserve">Активно ведется работа по привлечению предприятий города, потенциально соответствующих критериям проекта, по их информированию об условиях вступления и мерах государственной поддержки в рамках федерального проекта. </w:t>
      </w:r>
    </w:p>
    <w:p w:rsidR="00627753" w:rsidRDefault="000F58AA" w:rsidP="008439EE">
      <w:pPr>
        <w:tabs>
          <w:tab w:val="left" w:pos="1134"/>
        </w:tabs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  <w:t>Информация о проекте размещена на официальном сайте города Набережные Челны в информационно-телекоммуникационной сети «Интернет», на официальной странице отдела поддержки и развития предпринимательства в социальной сети Вконтакте, а также в чатах бизнес-сообществ.</w:t>
      </w:r>
    </w:p>
    <w:p w:rsidR="000F58AA" w:rsidRDefault="000F58AA" w:rsidP="008439EE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27753" w:rsidRDefault="000F58AA" w:rsidP="008439EE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8. «Международная кооперация и экспорт»</w:t>
      </w:r>
    </w:p>
    <w:p w:rsidR="00627753" w:rsidRDefault="00627753" w:rsidP="008439EE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753" w:rsidRDefault="000F58AA" w:rsidP="008439EE">
      <w:pPr>
        <w:tabs>
          <w:tab w:val="left" w:pos="1134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  <w:t>С целью выявления экспортного потенциала регулярно проводится информирование предпринимателей о возможности получения услуг ЦПЭ через официальные группы социальных сетей отдела по поддержке и развитию предпринимательства, а также через рассылку информации на электронные почты.</w:t>
      </w:r>
    </w:p>
    <w:p w:rsidR="00627753" w:rsidRDefault="00627753" w:rsidP="008439EE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</w:p>
    <w:sectPr w:rsidR="00627753">
      <w:footerReference w:type="even" r:id="rId12"/>
      <w:footerReference w:type="default" r:id="rId13"/>
      <w:footerReference w:type="first" r:id="rId14"/>
      <w:pgSz w:w="11906" w:h="16838"/>
      <w:pgMar w:top="851" w:right="851" w:bottom="1276" w:left="1134" w:header="0" w:footer="709" w:gutter="0"/>
      <w:cols w:space="720"/>
      <w:formProt w:val="0"/>
      <w:docGrid w:linePitch="360" w:charSpace="532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75A" w:rsidRDefault="000F58AA">
      <w:r>
        <w:separator/>
      </w:r>
    </w:p>
  </w:endnote>
  <w:endnote w:type="continuationSeparator" w:id="0">
    <w:p w:rsidR="008D775A" w:rsidRDefault="000F5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OpenSymbol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imbus Roman">
    <w:altName w:val="Times New Roman"/>
    <w:charset w:val="01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753" w:rsidRDefault="0062775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4178626"/>
      <w:docPartObj>
        <w:docPartGallery w:val="Page Numbers (Bottom of Page)"/>
        <w:docPartUnique/>
      </w:docPartObj>
    </w:sdtPr>
    <w:sdtEndPr/>
    <w:sdtContent>
      <w:p w:rsidR="00627753" w:rsidRDefault="000F58AA">
        <w:pPr>
          <w:pStyle w:val="ab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8439EE">
          <w:rPr>
            <w:noProof/>
          </w:rPr>
          <w:t>8</w:t>
        </w:r>
        <w:r>
          <w:fldChar w:fldCharType="end"/>
        </w:r>
      </w:p>
    </w:sdtContent>
  </w:sdt>
  <w:p w:rsidR="00627753" w:rsidRDefault="00627753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2184736"/>
      <w:docPartObj>
        <w:docPartGallery w:val="Page Numbers (Bottom of Page)"/>
        <w:docPartUnique/>
      </w:docPartObj>
    </w:sdtPr>
    <w:sdtEndPr/>
    <w:sdtContent>
      <w:p w:rsidR="00627753" w:rsidRDefault="000F58AA">
        <w:pPr>
          <w:pStyle w:val="ab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:rsidR="00627753" w:rsidRDefault="0062775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75A" w:rsidRDefault="000F58AA">
      <w:r>
        <w:separator/>
      </w:r>
    </w:p>
  </w:footnote>
  <w:footnote w:type="continuationSeparator" w:id="0">
    <w:p w:rsidR="008D775A" w:rsidRDefault="000F5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140F4"/>
    <w:multiLevelType w:val="multilevel"/>
    <w:tmpl w:val="3B4EB1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DE45CB3"/>
    <w:multiLevelType w:val="multilevel"/>
    <w:tmpl w:val="094C239C"/>
    <w:lvl w:ilvl="0">
      <w:start w:val="5"/>
      <w:numFmt w:val="bullet"/>
      <w:lvlText w:val="-"/>
      <w:lvlJc w:val="left"/>
      <w:pPr>
        <w:tabs>
          <w:tab w:val="num" w:pos="0"/>
        </w:tabs>
        <w:ind w:left="150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7753"/>
    <w:rsid w:val="000F58AA"/>
    <w:rsid w:val="004B4EBE"/>
    <w:rsid w:val="00627753"/>
    <w:rsid w:val="00643DEE"/>
    <w:rsid w:val="008439EE"/>
    <w:rsid w:val="008D775A"/>
    <w:rsid w:val="00B669FB"/>
    <w:rsid w:val="00DD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DF654"/>
  <w15:docId w15:val="{347A7D80-F538-44F8-BE0D-9C51E78A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CD3"/>
  </w:style>
  <w:style w:type="paragraph" w:styleId="1">
    <w:name w:val="heading 1"/>
    <w:basedOn w:val="a"/>
    <w:next w:val="a"/>
    <w:link w:val="10"/>
    <w:uiPriority w:val="9"/>
    <w:qFormat/>
    <w:rsid w:val="00530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8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66A45"/>
    <w:pPr>
      <w:keepNext/>
      <w:jc w:val="center"/>
      <w:outlineLvl w:val="2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DC7E9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2457F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631A9"/>
    <w:rPr>
      <w:color w:val="0000FF"/>
      <w:u w:val="single"/>
    </w:rPr>
  </w:style>
  <w:style w:type="character" w:customStyle="1" w:styleId="normaltextrun">
    <w:name w:val="normaltextrun"/>
    <w:basedOn w:val="a0"/>
    <w:qFormat/>
    <w:rsid w:val="002631A9"/>
  </w:style>
  <w:style w:type="character" w:customStyle="1" w:styleId="c16">
    <w:name w:val="c16"/>
    <w:basedOn w:val="a0"/>
    <w:qFormat/>
    <w:rsid w:val="000136DA"/>
  </w:style>
  <w:style w:type="character" w:customStyle="1" w:styleId="c28">
    <w:name w:val="c28"/>
    <w:basedOn w:val="a0"/>
    <w:qFormat/>
    <w:rsid w:val="000136DA"/>
  </w:style>
  <w:style w:type="character" w:customStyle="1" w:styleId="c15">
    <w:name w:val="c15"/>
    <w:basedOn w:val="a0"/>
    <w:qFormat/>
    <w:rsid w:val="000136DA"/>
  </w:style>
  <w:style w:type="character" w:customStyle="1" w:styleId="c21">
    <w:name w:val="c21"/>
    <w:basedOn w:val="a0"/>
    <w:qFormat/>
    <w:rsid w:val="000136DA"/>
  </w:style>
  <w:style w:type="character" w:customStyle="1" w:styleId="a8">
    <w:name w:val="Верхний колонтитул Знак"/>
    <w:basedOn w:val="a0"/>
    <w:link w:val="a9"/>
    <w:uiPriority w:val="99"/>
    <w:qFormat/>
    <w:rsid w:val="0023071D"/>
  </w:style>
  <w:style w:type="character" w:customStyle="1" w:styleId="aa">
    <w:name w:val="Нижний колонтитул Знак"/>
    <w:basedOn w:val="a0"/>
    <w:link w:val="ab"/>
    <w:uiPriority w:val="99"/>
    <w:qFormat/>
    <w:rsid w:val="0023071D"/>
  </w:style>
  <w:style w:type="character" w:styleId="ac">
    <w:name w:val="Strong"/>
    <w:basedOn w:val="a0"/>
    <w:uiPriority w:val="22"/>
    <w:qFormat/>
    <w:rsid w:val="003E7DB9"/>
    <w:rPr>
      <w:b/>
      <w:bCs/>
    </w:rPr>
  </w:style>
  <w:style w:type="character" w:customStyle="1" w:styleId="30">
    <w:name w:val="Заголовок 3 Знак"/>
    <w:basedOn w:val="a0"/>
    <w:link w:val="3"/>
    <w:qFormat/>
    <w:rsid w:val="00966A4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5304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d">
    <w:name w:val="Абзац списка Знак"/>
    <w:link w:val="ae"/>
    <w:uiPriority w:val="34"/>
    <w:qFormat/>
    <w:rsid w:val="00E608C8"/>
  </w:style>
  <w:style w:type="character" w:customStyle="1" w:styleId="21">
    <w:name w:val="Основной текст (2)_"/>
    <w:basedOn w:val="a0"/>
    <w:link w:val="210"/>
    <w:qFormat/>
    <w:locked/>
    <w:rsid w:val="00E608C8"/>
    <w:rPr>
      <w:shd w:val="clear" w:color="auto" w:fill="FFFFFF"/>
    </w:rPr>
  </w:style>
  <w:style w:type="character" w:customStyle="1" w:styleId="af">
    <w:name w:val="Обычный (веб) Знак"/>
    <w:link w:val="af0"/>
    <w:uiPriority w:val="99"/>
    <w:qFormat/>
    <w:locked/>
    <w:rsid w:val="00A012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CharLFO6LVL9">
    <w:name w:val="WW_CharLFO6LVL9"/>
    <w:qFormat/>
    <w:rPr>
      <w:rFonts w:ascii="PT Astra Serif" w:eastAsia="OpenSymbol" w:hAnsi="PT Astra Serif" w:cs="OpenSymbol"/>
    </w:rPr>
  </w:style>
  <w:style w:type="character" w:customStyle="1" w:styleId="WWCharLFO6LVL8">
    <w:name w:val="WW_CharLFO6LVL8"/>
    <w:qFormat/>
    <w:rPr>
      <w:rFonts w:ascii="PT Astra Serif" w:eastAsia="OpenSymbol" w:hAnsi="PT Astra Serif" w:cs="OpenSymbol"/>
    </w:rPr>
  </w:style>
  <w:style w:type="character" w:customStyle="1" w:styleId="WWCharLFO6LVL7">
    <w:name w:val="WW_CharLFO6LVL7"/>
    <w:qFormat/>
    <w:rPr>
      <w:rFonts w:ascii="PT Astra Serif" w:eastAsia="OpenSymbol" w:hAnsi="PT Astra Serif" w:cs="OpenSymbol"/>
    </w:rPr>
  </w:style>
  <w:style w:type="character" w:customStyle="1" w:styleId="WWCharLFO6LVL6">
    <w:name w:val="WW_CharLFO6LVL6"/>
    <w:qFormat/>
    <w:rPr>
      <w:rFonts w:ascii="PT Astra Serif" w:eastAsia="OpenSymbol" w:hAnsi="PT Astra Serif" w:cs="OpenSymbol"/>
    </w:rPr>
  </w:style>
  <w:style w:type="character" w:customStyle="1" w:styleId="WWCharLFO6LVL5">
    <w:name w:val="WW_CharLFO6LVL5"/>
    <w:qFormat/>
    <w:rPr>
      <w:rFonts w:ascii="PT Astra Serif" w:eastAsia="OpenSymbol" w:hAnsi="PT Astra Serif" w:cs="OpenSymbol"/>
    </w:rPr>
  </w:style>
  <w:style w:type="character" w:customStyle="1" w:styleId="WWCharLFO6LVL4">
    <w:name w:val="WW_CharLFO6LVL4"/>
    <w:qFormat/>
    <w:rPr>
      <w:rFonts w:ascii="PT Astra Serif" w:eastAsia="OpenSymbol" w:hAnsi="PT Astra Serif" w:cs="OpenSymbol"/>
    </w:rPr>
  </w:style>
  <w:style w:type="character" w:customStyle="1" w:styleId="WWCharLFO6LVL3">
    <w:name w:val="WW_CharLFO6LVL3"/>
    <w:qFormat/>
    <w:rPr>
      <w:rFonts w:ascii="PT Astra Serif" w:eastAsia="OpenSymbol" w:hAnsi="PT Astra Serif" w:cs="OpenSymbol"/>
    </w:rPr>
  </w:style>
  <w:style w:type="character" w:customStyle="1" w:styleId="WWCharLFO6LVL2">
    <w:name w:val="WW_CharLFO6LVL2"/>
    <w:qFormat/>
    <w:rPr>
      <w:rFonts w:ascii="PT Astra Serif" w:eastAsia="OpenSymbol" w:hAnsi="PT Astra Serif" w:cs="OpenSymbol"/>
    </w:rPr>
  </w:style>
  <w:style w:type="character" w:customStyle="1" w:styleId="WWCharLFO6LVL1">
    <w:name w:val="WW_CharLFO6LVL1"/>
    <w:qFormat/>
    <w:rPr>
      <w:rFonts w:ascii="PT Astra Serif" w:eastAsia="OpenSymbol" w:hAnsi="PT Astra Serif" w:cs="OpenSymbol"/>
    </w:rPr>
  </w:style>
  <w:style w:type="character" w:styleId="af1">
    <w:name w:val="Emphasis"/>
    <w:qFormat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22585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ontStyle14">
    <w:name w:val="Font Style14"/>
    <w:qFormat/>
    <w:rsid w:val="002C2154"/>
    <w:rPr>
      <w:rFonts w:ascii="Times New Roman" w:hAnsi="Times New Roman" w:cs="Times New Roman"/>
      <w:sz w:val="20"/>
      <w:szCs w:val="20"/>
    </w:rPr>
  </w:style>
  <w:style w:type="character" w:customStyle="1" w:styleId="af2">
    <w:name w:val="Без интервала Знак"/>
    <w:link w:val="af3"/>
    <w:uiPriority w:val="1"/>
    <w:qFormat/>
    <w:rsid w:val="002C2154"/>
  </w:style>
  <w:style w:type="character" w:customStyle="1" w:styleId="af4">
    <w:name w:val="Основной текст с отступом Знак"/>
    <w:basedOn w:val="a0"/>
    <w:link w:val="af5"/>
    <w:uiPriority w:val="99"/>
    <w:qFormat/>
    <w:rsid w:val="002C2154"/>
    <w:rPr>
      <w:rFonts w:ascii="Calibri" w:eastAsia="Times New Roman" w:hAnsi="Calibri" w:cs="Times New Roman"/>
      <w:lang w:eastAsia="ru-RU"/>
    </w:rPr>
  </w:style>
  <w:style w:type="paragraph" w:styleId="af6">
    <w:name w:val="Title"/>
    <w:basedOn w:val="a"/>
    <w:next w:val="a4"/>
    <w:qFormat/>
    <w:pPr>
      <w:keepNext/>
      <w:spacing w:before="240" w:after="120"/>
    </w:pPr>
    <w:rPr>
      <w:rFonts w:eastAsia="Tahoma" w:cs="Noto Sans Devanagari"/>
      <w:sz w:val="28"/>
      <w:szCs w:val="28"/>
    </w:rPr>
  </w:style>
  <w:style w:type="paragraph" w:styleId="a4">
    <w:name w:val="Body Text"/>
    <w:basedOn w:val="a"/>
    <w:link w:val="a3"/>
    <w:rsid w:val="00DC7E9A"/>
    <w:pPr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paragraph" w:styleId="af7">
    <w:name w:val="List"/>
    <w:basedOn w:val="a4"/>
    <w:rPr>
      <w:rFonts w:ascii="PT Astra Serif" w:hAnsi="PT Astra Serif" w:cs="Noto Sans Devanagari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caption1">
    <w:name w:val="caption1"/>
    <w:basedOn w:val="a"/>
    <w:qFormat/>
    <w:rPr>
      <w:rFonts w:cs="Lohit Devanagari"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0">
    <w:name w:val="Normal (Web)"/>
    <w:basedOn w:val="a"/>
    <w:link w:val="af"/>
    <w:uiPriority w:val="99"/>
    <w:unhideWhenUsed/>
    <w:qFormat/>
    <w:rsid w:val="00F06DDB"/>
    <w:pPr>
      <w:spacing w:beforeAutospacing="1" w:afterAutospacing="1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a"/>
    <w:link w:val="ad"/>
    <w:uiPriority w:val="34"/>
    <w:qFormat/>
    <w:pPr>
      <w:spacing w:after="160"/>
      <w:ind w:left="720"/>
    </w:pPr>
  </w:style>
  <w:style w:type="paragraph" w:customStyle="1" w:styleId="Default">
    <w:name w:val="Default"/>
    <w:qFormat/>
    <w:rsid w:val="00DC7E9A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3">
    <w:name w:val="No Spacing"/>
    <w:link w:val="af2"/>
    <w:uiPriority w:val="1"/>
    <w:qFormat/>
    <w:rsid w:val="00DC7E9A"/>
  </w:style>
  <w:style w:type="paragraph" w:styleId="a6">
    <w:name w:val="Balloon Text"/>
    <w:basedOn w:val="a"/>
    <w:link w:val="a5"/>
    <w:uiPriority w:val="99"/>
    <w:semiHidden/>
    <w:unhideWhenUsed/>
    <w:qFormat/>
    <w:rsid w:val="002457F6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qFormat/>
    <w:rsid w:val="002631A9"/>
    <w:pPr>
      <w:spacing w:beforeAutospacing="1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c2">
    <w:name w:val="c2"/>
    <w:basedOn w:val="a"/>
    <w:qFormat/>
    <w:rsid w:val="000136DA"/>
    <w:pPr>
      <w:spacing w:beforeAutospacing="1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c11">
    <w:name w:val="c11"/>
    <w:basedOn w:val="a"/>
    <w:qFormat/>
    <w:rsid w:val="000136DA"/>
    <w:pPr>
      <w:spacing w:beforeAutospacing="1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afa">
    <w:name w:val="Колонтитул"/>
    <w:basedOn w:val="a"/>
    <w:qFormat/>
  </w:style>
  <w:style w:type="paragraph" w:customStyle="1" w:styleId="afb">
    <w:name w:val="Колонтитулы"/>
    <w:basedOn w:val="a"/>
    <w:qFormat/>
  </w:style>
  <w:style w:type="paragraph" w:styleId="a9">
    <w:name w:val="header"/>
    <w:basedOn w:val="a"/>
    <w:link w:val="a8"/>
    <w:uiPriority w:val="99"/>
    <w:unhideWhenUsed/>
    <w:rsid w:val="0023071D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a"/>
    <w:uiPriority w:val="99"/>
    <w:unhideWhenUsed/>
    <w:rsid w:val="0023071D"/>
    <w:pPr>
      <w:tabs>
        <w:tab w:val="center" w:pos="4677"/>
        <w:tab w:val="right" w:pos="9355"/>
      </w:tabs>
    </w:pPr>
  </w:style>
  <w:style w:type="paragraph" w:customStyle="1" w:styleId="alignjustify1">
    <w:name w:val="alignjustify1"/>
    <w:basedOn w:val="a"/>
    <w:uiPriority w:val="99"/>
    <w:semiHidden/>
    <w:qFormat/>
    <w:rsid w:val="003E7DB9"/>
    <w:pPr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nformat">
    <w:name w:val="ConsPlusNonformat"/>
    <w:uiPriority w:val="99"/>
    <w:qFormat/>
    <w:rsid w:val="004813ED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fc">
    <w:name w:val="Основной стиль абзаца"/>
    <w:basedOn w:val="a"/>
    <w:qFormat/>
    <w:rsid w:val="00B148AF"/>
    <w:pPr>
      <w:spacing w:before="120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(2)1"/>
    <w:basedOn w:val="a"/>
    <w:link w:val="21"/>
    <w:qFormat/>
    <w:rsid w:val="00E608C8"/>
    <w:pPr>
      <w:widowControl w:val="0"/>
      <w:shd w:val="clear" w:color="auto" w:fill="FFFFFF"/>
      <w:spacing w:line="274" w:lineRule="exact"/>
      <w:jc w:val="both"/>
    </w:pPr>
  </w:style>
  <w:style w:type="paragraph" w:customStyle="1" w:styleId="afd">
    <w:name w:val="Гриф_Экземпляр"/>
    <w:basedOn w:val="a"/>
    <w:qFormat/>
  </w:style>
  <w:style w:type="paragraph" w:customStyle="1" w:styleId="IllustrationIndex1">
    <w:name w:val="Illustration Index 1"/>
    <w:qFormat/>
    <w:pPr>
      <w:tabs>
        <w:tab w:val="right" w:leader="dot" w:pos="9638"/>
      </w:tabs>
      <w:spacing w:after="170"/>
    </w:pPr>
    <w:rPr>
      <w:rFonts w:cs="Noto Sans Devanagari"/>
      <w:b/>
    </w:rPr>
  </w:style>
  <w:style w:type="paragraph" w:styleId="afe">
    <w:name w:val="Salutation"/>
    <w:basedOn w:val="a"/>
    <w:qFormat/>
  </w:style>
  <w:style w:type="paragraph" w:customStyle="1" w:styleId="user">
    <w:name w:val="Содержимое таблицы (user)"/>
    <w:basedOn w:val="a"/>
    <w:qFormat/>
    <w:pPr>
      <w:widowControl w:val="0"/>
      <w:suppressLineNumbers/>
    </w:pPr>
  </w:style>
  <w:style w:type="paragraph" w:customStyle="1" w:styleId="user0">
    <w:name w:val="Заголовок таблицы (user)"/>
    <w:basedOn w:val="user"/>
    <w:qFormat/>
    <w:pPr>
      <w:jc w:val="center"/>
    </w:pPr>
    <w:rPr>
      <w:b/>
      <w:bCs/>
    </w:rPr>
  </w:style>
  <w:style w:type="paragraph" w:styleId="af5">
    <w:name w:val="Body Text Indent"/>
    <w:basedOn w:val="a"/>
    <w:link w:val="af4"/>
    <w:uiPriority w:val="99"/>
    <w:unhideWhenUsed/>
    <w:rsid w:val="002C2154"/>
    <w:pPr>
      <w:suppressAutoHyphens w:val="0"/>
      <w:spacing w:after="120" w:line="276" w:lineRule="auto"/>
      <w:ind w:left="283"/>
    </w:pPr>
    <w:rPr>
      <w:rFonts w:ascii="Calibri" w:eastAsia="Times New Roman" w:hAnsi="Calibri" w:cs="Times New Roman"/>
      <w:lang w:eastAsia="ru-RU"/>
    </w:rPr>
  </w:style>
  <w:style w:type="numbering" w:customStyle="1" w:styleId="aff">
    <w:name w:val="Без списка"/>
    <w:uiPriority w:val="99"/>
    <w:semiHidden/>
    <w:unhideWhenUsed/>
    <w:qFormat/>
  </w:style>
  <w:style w:type="numbering" w:customStyle="1" w:styleId="user1">
    <w:name w:val="Без списка (user)"/>
    <w:uiPriority w:val="99"/>
    <w:semiHidden/>
    <w:unhideWhenUsed/>
    <w:qFormat/>
  </w:style>
  <w:style w:type="table" w:styleId="aff0">
    <w:name w:val="Table Grid"/>
    <w:basedOn w:val="a1"/>
    <w:uiPriority w:val="39"/>
    <w:rsid w:val="00DC7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../../../../../../../../../../../C:/Users/PROGZAN-305-5/AppData/Local/Microsoft/Windows/Temporary%20Internet%20Files/Content.Outlook/3WFQW9NC/&#1055;&#1083;&#1072;&#1085;&#1086;&#1084;%20&#1088;&#1077;&#1072;&#1083;&#1080;&#1079;&#1072;&#1094;&#1080;&#1080;%20&#1092;&#1077;&#1076;&#1077;&#1088;&#1072;&#1083;&#1100;&#1085;&#1086;&#1075;&#1086;%20&#1087;&#1088;&#1086;&#1077;&#1082;&#1090;&#1072;%22,%20&#1056;&#1077;&#1079;&#1091;&#1083;&#1100;&#1090;&#1072;&#1090;&#1072;&#1084;&#1080;%20&#1092;&#1077;&#1076;&#1077;&#1088;&#1072;&#1083;&#1100;&#1085;&#1086;&#1075;&#1086;%20&#1087;&#1088;&#1086;&#1077;&#1082;&#1090;&#1072;%20&#1087;&#1086;%20&#1089;&#1091;&#1073;&#1098;&#1077;&#1082;&#1090;&#1072;&#1084;%20&#1056;&#1086;&#1089;&#1089;&#1080;&#1081;&#1089;&#1082;&#1086;&#1081;%20&#1060;&#1077;&#1076;&#1077;&#1088;&#1072;&#1094;&#1080;&#1080;%22)%20%7B&#1050;&#1086;&#1085;&#1089;&#1091;&#1083;&#1100;&#1090;&#1072;&#1085;&#1090;&#1055;&#1083;&#1102;&#1089;%7D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../../../../../../../../../../../../../../C:/Users/PROGZAN-305-5/AppData/Local/Microsoft/Windows/Temporary%20Internet%20Files/Content.Outlook/3WFQW9NC/%7B&#1050;&#1086;&#1085;&#1089;&#1091;&#1083;&#1100;&#1090;&#1072;&#1085;&#1090;&#1055;&#1083;&#1102;&#1089;%7D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5F350-E064-4F5E-BEE0-F446B0A77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5413</TotalTime>
  <Pages>8</Pages>
  <Words>2814</Words>
  <Characters>16046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Ахтямова Г.С.</dc:creator>
  <dc:description/>
  <cp:lastModifiedBy>Хамидуллина Алсу</cp:lastModifiedBy>
  <cp:revision>361</cp:revision>
  <cp:lastPrinted>2026-03-17T05:52:00Z</cp:lastPrinted>
  <dcterms:created xsi:type="dcterms:W3CDTF">2024-03-06T08:14:00Z</dcterms:created>
  <dcterms:modified xsi:type="dcterms:W3CDTF">2026-03-18T11:18:00Z</dcterms:modified>
  <dc:language>ru-RU</dc:language>
</cp:coreProperties>
</file>