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Pr="00533987" w:rsidRDefault="00D239C3" w:rsidP="004F32B1">
      <w:pPr>
        <w:jc w:val="both"/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C3016E" w:rsidP="00C3016E">
            <w:pPr>
              <w:pStyle w:val="a5"/>
              <w:rPr>
                <w:sz w:val="18"/>
                <w:szCs w:val="18"/>
              </w:rPr>
            </w:pPr>
            <w:r w:rsidRPr="00C3016E">
              <w:rPr>
                <w:rFonts w:ascii="Times New Roman" w:eastAsia="Times New Roman" w:hAnsi="Times New Roman" w:cs="Times New Roman"/>
                <w:lang w:eastAsia="ru-RU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066D0E" w:rsidRPr="00DE556C" w:rsidRDefault="00DE556C" w:rsidP="00C3016E">
            <w:r>
              <w:rPr>
                <w:sz w:val="22"/>
                <w:szCs w:val="22"/>
              </w:rPr>
              <w:t>Н</w:t>
            </w:r>
            <w:r w:rsidRPr="00DE556C">
              <w:rPr>
                <w:sz w:val="22"/>
                <w:szCs w:val="22"/>
              </w:rPr>
              <w:t>естационарный</w:t>
            </w:r>
            <w:r w:rsidR="00A275C8">
              <w:rPr>
                <w:sz w:val="22"/>
                <w:szCs w:val="22"/>
              </w:rPr>
              <w:t xml:space="preserve"> торговый </w:t>
            </w:r>
            <w:r w:rsidR="00C3016E">
              <w:rPr>
                <w:sz w:val="22"/>
                <w:szCs w:val="22"/>
              </w:rPr>
              <w:t xml:space="preserve"> объект </w:t>
            </w:r>
            <w:r w:rsidRPr="00DE556C">
              <w:rPr>
                <w:sz w:val="22"/>
                <w:szCs w:val="22"/>
              </w:rPr>
              <w:t xml:space="preserve"> </w:t>
            </w:r>
            <w:r w:rsidR="007936C0">
              <w:rPr>
                <w:sz w:val="22"/>
                <w:szCs w:val="22"/>
              </w:rPr>
              <w:t>(павильон)</w:t>
            </w:r>
          </w:p>
        </w:tc>
        <w:tc>
          <w:tcPr>
            <w:tcW w:w="3260" w:type="dxa"/>
          </w:tcPr>
          <w:p w:rsidR="00066D0E" w:rsidRPr="00284672" w:rsidRDefault="007936C0" w:rsidP="007936C0">
            <w:r w:rsidRPr="007936C0">
              <w:rPr>
                <w:sz w:val="22"/>
                <w:szCs w:val="22"/>
              </w:rPr>
              <w:t xml:space="preserve">г. Набережные Челны, пр. </w:t>
            </w:r>
            <w:proofErr w:type="spellStart"/>
            <w:r w:rsidRPr="007936C0">
              <w:rPr>
                <w:sz w:val="22"/>
                <w:szCs w:val="22"/>
              </w:rPr>
              <w:t>Чулман</w:t>
            </w:r>
            <w:proofErr w:type="spellEnd"/>
            <w:r w:rsidRPr="007936C0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</w:t>
            </w:r>
            <w:r w:rsidRPr="007936C0">
              <w:rPr>
                <w:sz w:val="22"/>
                <w:szCs w:val="22"/>
              </w:rPr>
              <w:t>поворот на КСШ «</w:t>
            </w:r>
            <w:proofErr w:type="spellStart"/>
            <w:r w:rsidRPr="007936C0">
              <w:rPr>
                <w:sz w:val="22"/>
                <w:szCs w:val="22"/>
              </w:rPr>
              <w:t>Тулпар</w:t>
            </w:r>
            <w:proofErr w:type="spellEnd"/>
            <w:r w:rsidRPr="007936C0">
              <w:rPr>
                <w:sz w:val="22"/>
                <w:szCs w:val="22"/>
              </w:rPr>
              <w:t>».</w:t>
            </w:r>
          </w:p>
        </w:tc>
        <w:tc>
          <w:tcPr>
            <w:tcW w:w="4111" w:type="dxa"/>
          </w:tcPr>
          <w:p w:rsidR="00066D0E" w:rsidRDefault="00487AF6" w:rsidP="004A75ED">
            <w:pPr>
              <w:jc w:val="center"/>
              <w:rPr>
                <w:noProof/>
              </w:rPr>
            </w:pPr>
            <w:r w:rsidRPr="00487AF6">
              <w:rPr>
                <w:noProof/>
              </w:rPr>
              <w:drawing>
                <wp:inline distT="0" distB="0" distL="0" distR="0">
                  <wp:extent cx="2870200" cy="2152650"/>
                  <wp:effectExtent l="19050" t="0" r="6350" b="0"/>
                  <wp:docPr id="2" name="Рисунок 2" descr="\\win-ser\public\1. отдел ОВОТ\ДЕМОНТАЖ\2025 демонтаж\2.  Объекты 2025\№19 Велопрокат Адреналин пр. Чулман\9ef92f9e-26f8-4a5f-9c49-f13123ac95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5 демонтаж\2.  Объекты 2025\№19 Велопрокат Адреналин пр. Чулман\9ef92f9e-26f8-4a5f-9c49-f13123ac95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2143" cy="21541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259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3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AF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6C0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275C8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16E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39C3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556C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11</cp:revision>
  <dcterms:created xsi:type="dcterms:W3CDTF">2024-01-12T13:44:00Z</dcterms:created>
  <dcterms:modified xsi:type="dcterms:W3CDTF">2025-09-30T10:40:00Z</dcterms:modified>
</cp:coreProperties>
</file>