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center"/>
        <w:rPr>
          <w:color w:val="C9211E"/>
        </w:rPr>
      </w:pPr>
      <w:r>
        <w:rPr>
          <w:rFonts w:ascii="Times New Roman Tat" w:hAnsi="Times New Roman Tat"/>
          <w:b/>
          <w:color w:val="C9211E"/>
          <w:sz w:val="32"/>
          <w:szCs w:val="32"/>
        </w:rPr>
        <w:t xml:space="preserve">Азбука потребителя: </w:t>
      </w:r>
    </w:p>
    <w:p>
      <w:pPr>
        <w:pStyle w:val="Normal"/>
        <w:spacing w:before="0" w:after="0"/>
        <w:jc w:val="center"/>
        <w:rPr>
          <w:color w:val="C9211E"/>
        </w:rPr>
      </w:pPr>
      <w:r>
        <w:rPr>
          <w:rFonts w:ascii="Times New Roman Tat" w:hAnsi="Times New Roman Tat"/>
          <w:b/>
          <w:color w:val="C9211E"/>
          <w:sz w:val="32"/>
          <w:szCs w:val="32"/>
        </w:rPr>
        <w:t xml:space="preserve">Знакомство с ювелирным словарем: </w:t>
      </w:r>
    </w:p>
    <w:p>
      <w:pPr>
        <w:pStyle w:val="Normal"/>
        <w:spacing w:before="0" w:after="0"/>
        <w:jc w:val="center"/>
        <w:rPr>
          <w:color w:val="C9211E"/>
        </w:rPr>
      </w:pPr>
      <w:r>
        <w:rPr>
          <w:rFonts w:ascii="Times New Roman Tat" w:hAnsi="Times New Roman Tat"/>
          <w:b/>
          <w:color w:val="C9211E"/>
          <w:sz w:val="32"/>
          <w:szCs w:val="32"/>
        </w:rPr>
        <w:t>проба, бирка, пломба.</w:t>
      </w:r>
      <w:r>
        <w:rPr>
          <w:rFonts w:ascii="Times New Roman Tat" w:hAnsi="Times New Roman Tat"/>
          <w:color w:val="C9211E"/>
          <w:sz w:val="32"/>
          <w:szCs w:val="32"/>
        </w:rPr>
        <w:t xml:space="preserve"> </w:t>
      </w:r>
    </w:p>
    <w:p>
      <w:pPr>
        <w:pStyle w:val="Normal"/>
        <w:spacing w:before="0" w:after="0"/>
        <w:jc w:val="center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widowControl/>
        <w:suppressAutoHyphens w:val="true"/>
        <w:bidi w:val="0"/>
        <w:spacing w:lineRule="auto" w:line="276" w:before="0" w:after="0"/>
        <w:ind w:left="0" w:right="4649" w:hanging="0"/>
        <w:contextualSpacing/>
        <w:jc w:val="center"/>
        <w:rPr/>
      </w:pPr>
      <w:r>
        <w:rPr>
          <w:rFonts w:cs="Times New Roman" w:ascii="Times New Roman" w:hAnsi="Times New Roman"/>
          <w:color w:val="C9211E"/>
          <w:sz w:val="24"/>
          <w:szCs w:val="24"/>
        </w:rPr>
        <w:t xml:space="preserve">Один из подарков, который 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3736340</wp:posOffset>
            </wp:positionH>
            <wp:positionV relativeFrom="paragraph">
              <wp:posOffset>-12700</wp:posOffset>
            </wp:positionV>
            <wp:extent cx="2200910" cy="220091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2200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Times New Roman" w:hAnsi="Times New Roman"/>
          <w:color w:val="C9211E"/>
          <w:sz w:val="24"/>
          <w:szCs w:val="24"/>
        </w:rPr>
        <w:t>относится к разряду универсальных, служит ювелирное украшение. Подарив драгоценное изделие, можно порадовать кого угодно – и любимую бабушку, и совсем юную девушку, и солидного мужчину.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left="0" w:right="4649" w:hanging="0"/>
        <w:contextualSpacing/>
        <w:jc w:val="center"/>
        <w:rPr>
          <w:rFonts w:ascii="Times New Roman" w:hAnsi="Times New Roman" w:cs="Times New Roman"/>
          <w:color w:val="C9211E"/>
          <w:sz w:val="24"/>
          <w:szCs w:val="24"/>
        </w:rPr>
      </w:pPr>
      <w:r>
        <w:rPr/>
      </w:r>
    </w:p>
    <w:p>
      <w:pPr>
        <w:pStyle w:val="Normal"/>
        <w:widowControl/>
        <w:suppressAutoHyphens w:val="true"/>
        <w:bidi w:val="0"/>
        <w:spacing w:lineRule="auto" w:line="276" w:before="0" w:after="0"/>
        <w:ind w:left="0" w:right="4706" w:hanging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</w:rPr>
        <w:tab/>
        <w:t>На рынке ювелирных украшений огромное количество изделий из золота, платины, серебра, а также изделий с драгоценными и полудрагоценными камнями. Ювелирные магазины открываются чуть ли не на каждом шагу, к сожалению, случаются и факты продажи некачественной продукции.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Специалисты отдела развития и координации внутреннего рынка Набережночелнинского территориального органа Госалкогольинспекции Республики Татарстан предлагают несколько полезных советов, которые могут помочь при выборе качественного украшения из драгоценных металлов.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 xml:space="preserve">Первое что необходимо проверить - это наличие пробы на ювелирном изделии. Это, своего рода, гарантия, что изделие не подделка и действительно изготовлено из драгоценного металла. Паспортом изделия служит бирка, прикрепленная нитью и пломбой.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 xml:space="preserve">Далее внешний осмотр: внешне ювелирное изделие должно быть без царапин, шероховатостей, трещин и швов. Камни должны быть надежно прикреплены, а замки рабочие. И если на этом этапе Вас все устроило, </w:t>
      </w:r>
      <w:r>
        <w:rPr>
          <w:rFonts w:cs="Times New Roman" w:ascii="Times New Roman" w:hAnsi="Times New Roman"/>
          <w:sz w:val="24"/>
          <w:szCs w:val="24"/>
        </w:rPr>
        <w:t xml:space="preserve">то </w:t>
      </w:r>
      <w:r>
        <w:rPr>
          <w:rFonts w:cs="Times New Roman" w:ascii="Times New Roman" w:hAnsi="Times New Roman"/>
          <w:sz w:val="24"/>
          <w:szCs w:val="24"/>
        </w:rPr>
        <w:t xml:space="preserve">с выбором подарка необходимо определиться на все 100% в магазине. </w:t>
      </w:r>
      <w:r>
        <w:rPr>
          <w:rFonts w:cs="Times New Roman" w:ascii="Times New Roman" w:hAnsi="Times New Roman"/>
          <w:sz w:val="24"/>
          <w:szCs w:val="24"/>
        </w:rPr>
        <w:t>П</w:t>
      </w:r>
      <w:r>
        <w:rPr>
          <w:rFonts w:cs="Times New Roman" w:ascii="Times New Roman" w:hAnsi="Times New Roman"/>
          <w:sz w:val="24"/>
          <w:szCs w:val="24"/>
        </w:rPr>
        <w:t xml:space="preserve">окупатели </w:t>
      </w:r>
      <w:r>
        <w:rPr>
          <w:rFonts w:cs="Times New Roman" w:ascii="Times New Roman" w:hAnsi="Times New Roman"/>
          <w:sz w:val="24"/>
          <w:szCs w:val="24"/>
        </w:rPr>
        <w:t>должны запомнить,</w:t>
      </w:r>
      <w:r>
        <w:rPr>
          <w:rFonts w:cs="Times New Roman" w:ascii="Times New Roman" w:hAnsi="Times New Roman"/>
          <w:sz w:val="24"/>
          <w:szCs w:val="24"/>
        </w:rPr>
        <w:t xml:space="preserve"> что ювелирное украшение не подлежит обмену и возврату, так как входит в перечень непродовольственных товаров надлежащего качества, не подлежащих возврату или обмену на аналогичный товар других размера, формы, габарита, фасона, расцветки или комплектации, утвержденный Постановлением Правительства РФ от 31.12.2020г.  №2463. 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Исключение составляет покупка ювелирного украшения в интернет-магазине. В данном случае право потребителя на отказ от товара, приобретенного дистанционным путем установлено п.4 ст. 26.1 Закона РФ</w:t>
      </w:r>
      <w:r>
        <w:rPr/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от 07.02.1992 г. №2300-1  «О защите прав потребителей»: Потребитель вправе отказаться от товара в любое время до его передачи, а после передачи товара в течение семи дней. Возврат товара надлежащего качества возможен в случае, если сохранены его товарный вид, потребительские свойства, а также документ, подтверждающий факт и условия покупки указанного товара. Отсутствие у потребителя документа, подтверждающего факт и условия покупки товара, не лишает его возможности ссылаться на другие доказательства приобретения товара у данного продавца.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Если было приобретено ювелирное изделие с браком, то права покупателя регламентируются ст. 18 Закона РФ от 07.02.1992 г. №2300-1 «О защите прав потребителей». В данном случае обманутый покупатель имеет право обратиться с претензией к магазину, выдвинув одно из законных требований:</w:t>
      </w:r>
    </w:p>
    <w:p>
      <w:pPr>
        <w:pStyle w:val="Normal"/>
        <w:numPr>
          <w:ilvl w:val="0"/>
          <w:numId w:val="1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замена товара на аналогичный, но без недостатков;</w:t>
      </w:r>
    </w:p>
    <w:p>
      <w:pPr>
        <w:pStyle w:val="Normal"/>
        <w:numPr>
          <w:ilvl w:val="0"/>
          <w:numId w:val="1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замена на прочий товар (с пересчетом стоимости);</w:t>
      </w:r>
    </w:p>
    <w:p>
      <w:pPr>
        <w:pStyle w:val="Normal"/>
        <w:numPr>
          <w:ilvl w:val="0"/>
          <w:numId w:val="1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уменьшение стоимости покупки;</w:t>
      </w:r>
    </w:p>
    <w:p>
      <w:pPr>
        <w:pStyle w:val="Normal"/>
        <w:numPr>
          <w:ilvl w:val="0"/>
          <w:numId w:val="1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устранение неисправности продавцом;</w:t>
      </w:r>
    </w:p>
    <w:p>
      <w:pPr>
        <w:pStyle w:val="Normal"/>
        <w:numPr>
          <w:ilvl w:val="0"/>
          <w:numId w:val="1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полное денежное возмещение. </w:t>
      </w:r>
    </w:p>
    <w:p>
      <w:pPr>
        <w:pStyle w:val="Normal"/>
        <w:numPr>
          <w:ilvl w:val="0"/>
          <w:numId w:val="0"/>
        </w:numPr>
        <w:spacing w:before="0" w:after="0"/>
        <w:ind w:left="720" w:hanging="0"/>
        <w:jc w:val="both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Normal"/>
        <w:spacing w:before="0" w:after="0"/>
        <w:jc w:val="center"/>
        <w:rPr>
          <w:b/>
          <w:bCs/>
          <w:color w:val="C9211E"/>
        </w:rPr>
      </w:pPr>
      <w:r>
        <w:rPr>
          <w:rFonts w:cs="Times New Roman" w:ascii="Times New Roman" w:hAnsi="Times New Roman"/>
          <w:b/>
          <w:bCs/>
          <w:color w:val="C9211E"/>
          <w:sz w:val="24"/>
          <w:szCs w:val="24"/>
        </w:rPr>
        <w:t xml:space="preserve">Желаем </w:t>
      </w:r>
      <w:r>
        <w:rPr>
          <w:rFonts w:cs="Times New Roman" w:ascii="Times New Roman" w:hAnsi="Times New Roman"/>
          <w:b/>
          <w:bCs/>
          <w:color w:val="C9211E"/>
          <w:sz w:val="24"/>
          <w:szCs w:val="24"/>
        </w:rPr>
        <w:t>Вам качественных покупок и ярких праздничных моментов в жизни.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b/>
          <w:bCs/>
          <w:color w:val="C9211E"/>
        </w:rPr>
      </w:r>
    </w:p>
    <w:p>
      <w:pPr>
        <w:pStyle w:val="Normal"/>
        <w:spacing w:before="0" w:after="0"/>
        <w:jc w:val="center"/>
        <w:rPr>
          <w:color w:val="C9211E"/>
        </w:rPr>
      </w:pPr>
      <w:r>
        <w:rPr>
          <w:rFonts w:cs="Times New Roman" w:ascii="Times New Roman" w:hAnsi="Times New Roman"/>
          <w:color w:val="C9211E"/>
          <w:sz w:val="24"/>
          <w:szCs w:val="24"/>
        </w:rPr>
        <w:t>По всем вопросам, касающихся защиты ваших прав и законных интересов, Вы можете обращаться в Набережночелнинский территориальный орган Госалкогольинспекции Республики Татарстан по тел.71-43-03.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color w:val="C9211E"/>
          <w:sz w:val="24"/>
          <w:szCs w:val="24"/>
        </w:rPr>
      </w:pPr>
      <w:r>
        <w:rPr>
          <w:rFonts w:cs="Times New Roman" w:ascii="Times New Roman" w:hAnsi="Times New Roman"/>
          <w:color w:val="C9211E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color w:val="C9211E"/>
          <w:sz w:val="24"/>
          <w:szCs w:val="24"/>
        </w:rPr>
      </w:pPr>
      <w:r>
        <w:rPr>
          <w:rFonts w:cs="Times New Roman" w:ascii="Times New Roman" w:hAnsi="Times New Roman"/>
          <w:color w:val="C9211E"/>
          <w:sz w:val="24"/>
          <w:szCs w:val="24"/>
        </w:rPr>
      </w:r>
    </w:p>
    <w:p>
      <w:pPr>
        <w:pStyle w:val="Normal"/>
        <w:spacing w:before="0" w:after="0"/>
        <w:jc w:val="right"/>
        <w:rPr>
          <w:sz w:val="22"/>
          <w:szCs w:val="22"/>
        </w:rPr>
      </w:pPr>
      <w:r>
        <w:rPr>
          <w:rFonts w:cs="Times New Roman" w:ascii="Times New Roman" w:hAnsi="Times New Roman"/>
          <w:b/>
          <w:i/>
          <w:sz w:val="22"/>
          <w:szCs w:val="22"/>
        </w:rPr>
        <w:t>Набережночелнинский территориальный орган</w:t>
      </w:r>
    </w:p>
    <w:p>
      <w:pPr>
        <w:pStyle w:val="Normal"/>
        <w:spacing w:before="0" w:after="0"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2"/>
          <w:szCs w:val="22"/>
        </w:rPr>
        <w:t>Госалкогольинспекции Респу</w:t>
      </w:r>
      <w:bookmarkStart w:id="0" w:name="_GoBack"/>
      <w:bookmarkEnd w:id="0"/>
      <w:r>
        <w:rPr>
          <w:rFonts w:cs="Times New Roman" w:ascii="Times New Roman" w:hAnsi="Times New Roman"/>
          <w:b/>
          <w:i/>
          <w:sz w:val="22"/>
          <w:szCs w:val="22"/>
        </w:rPr>
        <w:t>блики Татарстан</w:t>
      </w:r>
    </w:p>
    <w:sectPr>
      <w:type w:val="nextPage"/>
      <w:pgSz w:w="11906" w:h="16838"/>
      <w:pgMar w:left="1134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OpenSymbol">
    <w:altName w:val="Arial Unicode MS"/>
    <w:charset w:val="02"/>
    <w:family w:val="auto"/>
    <w:pitch w:val="default"/>
  </w:font>
  <w:font w:name="PT Astra Serif">
    <w:charset w:val="01"/>
    <w:family w:val="roman"/>
    <w:pitch w:val="default"/>
  </w:font>
  <w:font w:name="Times New Roman Tat">
    <w:charset w:val="01"/>
    <w:family w:val="roman"/>
    <w:pitch w:val="default"/>
  </w:font>
  <w:font w:name="Times New Roman">
    <w:charset w:val="01"/>
    <w:family w:val="roman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Маркеры"/>
    <w:qFormat/>
    <w:rPr>
      <w:rFonts w:ascii="OpenSymbol" w:hAnsi="OpenSymbol" w:eastAsia="OpenSymbol" w:cs="OpenSymbol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Application>LibreOffice/7.5.6.2$Linux_X86_64 LibreOffice_project/50$Build-2</Application>
  <AppVersion>15.0000</AppVersion>
  <Pages>2</Pages>
  <Words>423</Words>
  <Characters>2833</Characters>
  <CharactersWithSpaces>3248</CharactersWithSpaces>
  <Paragraphs>20</Paragraphs>
  <Company>Win-Yagd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2025-05-12T07:03:00Z</dcterms:created>
  <dc:creator>1</dc:creator>
  <dc:description/>
  <dc:language>ru-RU</dc:language>
  <cp:lastModifiedBy/>
  <cp:lastPrinted>2025-05-14T11:27:00Z</cp:lastPrinted>
  <dcterms:modified xsi:type="dcterms:W3CDTF">2025-12-10T09:23:43Z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