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word/_rels/document.xml.rels" ContentType="application/vnd.openxmlformats-package.relationships+xml"/>
  <Override PartName="/word/numbering.xml" ContentType="application/vnd.openxmlformats-officedocument.wordprocessingml.numbering+xml"/>
  <Override PartName="/word/styles.xml" ContentType="application/vnd.openxmlformats-officedocument.wordprocessingml.styles+xml"/>
  <Override PartName="/word/theme/theme1.xml" ContentType="application/vnd.openxmlformats-officedocument.theme+xml"/>
  <Override PartName="/word/media/image1.jpeg" ContentType="image/jpeg"/>
  <Override PartName="/word/fontTable.xml" ContentType="application/vnd.openxmlformats-officedocument.wordprocessingml.fontTable+xml"/>
  <Override PartName="/word/settings.xml" ContentType="application/vnd.openxmlformats-officedocument.wordprocessingml.settings+xml"/>
  <Override PartName="/word/document.xml" ContentType="application/vnd.openxmlformats-officedocument.wordprocessingml.document.main+xml"/>
  <Override PartName="/docProps/app.xml" ContentType="application/vnd.openxmlformats-officedocument.extended-properties+xml"/>
  <Override PartName="/docProps/custom.xml" ContentType="application/vnd.openxmlformats-officedocument.custom-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numPr>
          <w:ilvl w:val="0"/>
          <w:numId w:val="0"/>
        </w:numPr>
        <w:spacing w:lineRule="auto" w:line="240" w:beforeAutospacing="1" w:after="0"/>
        <w:jc w:val="center"/>
        <w:outlineLvl w:val="1"/>
        <w:rPr>
          <w:i w:val="false"/>
          <w:i w:val="false"/>
          <w:iCs w:val="false"/>
          <w:color w:val="C9211E"/>
          <w:sz w:val="52"/>
          <w:szCs w:val="52"/>
        </w:rPr>
      </w:pPr>
      <w:r>
        <w:rPr>
          <w:rFonts w:eastAsia="Times New Roman" w:cs="Times New Roman" w:ascii="Times New Roman" w:hAnsi="Times New Roman"/>
          <w:b/>
          <w:bCs/>
          <w:i w:val="false"/>
          <w:iCs w:val="false"/>
          <w:color w:val="C9211E"/>
          <w:sz w:val="52"/>
          <w:szCs w:val="52"/>
          <w:lang w:eastAsia="ru-RU"/>
        </w:rPr>
        <w:t>Азбука потребителя: можно ли вернуть бытовую химию в магазин, разбираемся в правах потребителя.</w:t>
      </w:r>
    </w:p>
    <w:p>
      <w:pPr>
        <w:pStyle w:val="NoSpacing"/>
        <w:jc w:val="center"/>
        <w:rPr>
          <w:b/>
          <w:bCs/>
          <w:i/>
          <w:i/>
          <w:iCs/>
          <w:color w:val="C9211E"/>
          <w:sz w:val="28"/>
          <w:szCs w:val="28"/>
        </w:rPr>
      </w:pPr>
      <w:r>
        <w:drawing>
          <wp:anchor behindDoc="0" distT="0" distB="0" distL="0" distR="0" simplePos="0" locked="0" layoutInCell="0" allowOverlap="1" relativeHeight="2">
            <wp:simplePos x="0" y="0"/>
            <wp:positionH relativeFrom="column">
              <wp:align>center</wp:align>
            </wp:positionH>
            <wp:positionV relativeFrom="paragraph">
              <wp:posOffset>635</wp:posOffset>
            </wp:positionV>
            <wp:extent cx="3018155" cy="2414905"/>
            <wp:effectExtent l="0" t="0" r="0" b="0"/>
            <wp:wrapTopAndBottom/>
            <wp:docPr id="1" name="Изображение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descr=""/>
                    <pic:cNvPicPr>
                      <a:picLocks noChangeAspect="1" noChangeArrowheads="1"/>
                    </pic:cNvPicPr>
                  </pic:nvPicPr>
                  <pic:blipFill>
                    <a:blip r:embed="rId2"/>
                    <a:stretch>
                      <a:fillRect/>
                    </a:stretch>
                  </pic:blipFill>
                  <pic:spPr bwMode="auto">
                    <a:xfrm>
                      <a:off x="0" y="0"/>
                      <a:ext cx="3018155" cy="2414905"/>
                    </a:xfrm>
                    <a:prstGeom prst="rect">
                      <a:avLst/>
                    </a:prstGeom>
                  </pic:spPr>
                </pic:pic>
              </a:graphicData>
            </a:graphic>
          </wp:anchor>
        </w:drawing>
      </w:r>
      <w:r>
        <w:rPr>
          <w:rFonts w:cs="Times New Roman" w:ascii="Times New Roman" w:hAnsi="Times New Roman"/>
          <w:b/>
          <w:bCs/>
          <w:i/>
          <w:iCs/>
          <w:color w:val="C9211E"/>
          <w:sz w:val="28"/>
          <w:szCs w:val="28"/>
          <w:lang w:eastAsia="ru-RU"/>
        </w:rPr>
        <w:t>Бытовая химия—неотъемлемая часть повседневной жизни: стиральные порошки, средства для мытья посуды, чистящие гели и спреи есть в каждом доме. Но что делать, если купленный товар не оправдал ожиданий или оказался с дефектом? Можно ли его вернуть в магазин? Разберёмся в этом вопросе.</w:t>
      </w:r>
    </w:p>
    <w:p>
      <w:pPr>
        <w:pStyle w:val="NoSpacing"/>
        <w:jc w:val="both"/>
        <w:rPr>
          <w:rFonts w:ascii="Times New Roman" w:hAnsi="Times New Roman" w:cs="Times New Roman"/>
          <w:sz w:val="24"/>
          <w:szCs w:val="24"/>
          <w:lang w:eastAsia="ru-RU"/>
        </w:rPr>
      </w:pPr>
      <w:r>
        <w:rPr>
          <w:rFonts w:cs="Times New Roman" w:ascii="Times New Roman" w:hAnsi="Times New Roman"/>
          <w:sz w:val="24"/>
          <w:szCs w:val="24"/>
          <w:lang w:eastAsia="ru-RU"/>
        </w:rPr>
        <w:tab/>
        <w:t>Согласно действующему законодательству, бытовая химия включена в перечень непродовольственных товаров надлежащего качества, не подлежащих  обмену. Это значит, что вернуть товар только потому, что он «не понравился» или «не подошёл», нельзя. Даже если упаковка не вскрыта, а чек сохранён, продавец вправе отказать в возврате. Такой подход обусловлен особенностями товара: средства бытовой химии относятся к категории товаров, которые сложно повторно реализовать из</w:t>
        <w:noBreakHyphen/>
        <w:t>за вопросов безопасности и гигиены.</w:t>
      </w:r>
    </w:p>
    <w:p>
      <w:pPr>
        <w:pStyle w:val="NoSpacing"/>
        <w:jc w:val="both"/>
        <w:rPr>
          <w:rFonts w:ascii="Times New Roman" w:hAnsi="Times New Roman" w:cs="Times New Roman"/>
          <w:sz w:val="24"/>
          <w:szCs w:val="24"/>
          <w:lang w:eastAsia="ru-RU"/>
        </w:rPr>
      </w:pPr>
      <w:r>
        <w:rPr>
          <w:rFonts w:cs="Times New Roman" w:ascii="Times New Roman" w:hAnsi="Times New Roman"/>
          <w:sz w:val="24"/>
          <w:szCs w:val="24"/>
          <w:lang w:eastAsia="ru-RU"/>
        </w:rPr>
        <w:tab/>
        <w:t>Когда возврат возможен? Возврат бытовой химии допускается только при наличии недостатков — то есть если товар ненадлежащего качества. К типичным дефектам относятся: Изменение консистенции. Например, жидкость превратилась в гель, а порошок скомковался — это явные признаки нарушения условий хранения или производственного брака. Заводской брак. Неисправный дозатор, протечка распылителя или неплотно закрытая крышка делают использование товара затруднительным или невозможным. Истечение срока годности. Продажа просроченных средств бытовой химии — прямое нарушение прав потребителя. При обнаружении любого из этих недостатков покупатель вправе предъявить продавцу одно из требований (на основании ст. 18 Закона РФ «О защите прав потребителей» №2300-</w:t>
      </w:r>
      <w:r>
        <w:rPr>
          <w:rFonts w:cs="Times New Roman" w:ascii="Times New Roman" w:hAnsi="Times New Roman"/>
          <w:sz w:val="24"/>
          <w:szCs w:val="24"/>
          <w:lang w:val="en-US" w:eastAsia="ru-RU"/>
        </w:rPr>
        <w:t>I</w:t>
      </w:r>
      <w:r>
        <w:rPr>
          <w:rFonts w:cs="Times New Roman" w:ascii="Times New Roman" w:hAnsi="Times New Roman"/>
          <w:sz w:val="24"/>
          <w:szCs w:val="24"/>
          <w:lang w:eastAsia="ru-RU"/>
        </w:rPr>
        <w:t xml:space="preserve"> от 07.02.1992 г.):</w:t>
      </w:r>
    </w:p>
    <w:p>
      <w:pPr>
        <w:pStyle w:val="NoSpacing"/>
        <w:numPr>
          <w:ilvl w:val="0"/>
          <w:numId w:val="1"/>
        </w:numPr>
        <w:jc w:val="both"/>
        <w:rPr>
          <w:rFonts w:ascii="Times New Roman" w:hAnsi="Times New Roman" w:cs="Times New Roman"/>
          <w:sz w:val="24"/>
          <w:szCs w:val="24"/>
          <w:lang w:eastAsia="ru-RU"/>
        </w:rPr>
      </w:pPr>
      <w:r>
        <w:rPr>
          <w:rFonts w:cs="Times New Roman" w:ascii="Times New Roman" w:hAnsi="Times New Roman"/>
          <w:sz w:val="24"/>
          <w:szCs w:val="24"/>
          <w:lang w:eastAsia="ru-RU"/>
        </w:rPr>
        <w:t>заменить товар на аналогичный надлежащего качества</w:t>
      </w:r>
      <w:bookmarkStart w:id="0" w:name="_GoBack"/>
      <w:bookmarkEnd w:id="0"/>
      <w:r>
        <w:rPr>
          <w:rFonts w:cs="Times New Roman" w:ascii="Times New Roman" w:hAnsi="Times New Roman"/>
          <w:sz w:val="24"/>
          <w:szCs w:val="24"/>
          <w:lang w:eastAsia="ru-RU"/>
        </w:rPr>
        <w:t xml:space="preserve"> либо на другую модель с перерасчётом цены;</w:t>
      </w:r>
    </w:p>
    <w:p>
      <w:pPr>
        <w:pStyle w:val="NoSpacing"/>
        <w:numPr>
          <w:ilvl w:val="0"/>
          <w:numId w:val="1"/>
        </w:numPr>
        <w:jc w:val="both"/>
        <w:rPr>
          <w:rFonts w:ascii="Times New Roman" w:hAnsi="Times New Roman" w:cs="Times New Roman"/>
          <w:sz w:val="24"/>
          <w:szCs w:val="24"/>
          <w:lang w:eastAsia="ru-RU"/>
        </w:rPr>
      </w:pPr>
      <w:r>
        <w:rPr>
          <w:rFonts w:cs="Times New Roman" w:ascii="Times New Roman" w:hAnsi="Times New Roman"/>
          <w:sz w:val="24"/>
          <w:szCs w:val="24"/>
          <w:lang w:eastAsia="ru-RU"/>
        </w:rPr>
        <w:t>соразмерно уменьшить покупную цену;</w:t>
      </w:r>
    </w:p>
    <w:p>
      <w:pPr>
        <w:pStyle w:val="NoSpacing"/>
        <w:numPr>
          <w:ilvl w:val="0"/>
          <w:numId w:val="1"/>
        </w:numPr>
        <w:jc w:val="both"/>
        <w:rPr>
          <w:rFonts w:ascii="Times New Roman" w:hAnsi="Times New Roman" w:cs="Times New Roman"/>
          <w:sz w:val="24"/>
          <w:szCs w:val="24"/>
          <w:lang w:eastAsia="ru-RU"/>
        </w:rPr>
      </w:pPr>
      <w:r>
        <w:rPr>
          <w:rFonts w:cs="Times New Roman" w:ascii="Times New Roman" w:hAnsi="Times New Roman"/>
          <w:sz w:val="24"/>
          <w:szCs w:val="24"/>
          <w:lang w:eastAsia="ru-RU"/>
        </w:rPr>
        <w:t>безвозмездно устранить недостатки (если это технически возможно) либо возместить расходы на их устранение;</w:t>
      </w:r>
    </w:p>
    <w:p>
      <w:pPr>
        <w:pStyle w:val="NoSpacing"/>
        <w:numPr>
          <w:ilvl w:val="0"/>
          <w:numId w:val="1"/>
        </w:numPr>
        <w:jc w:val="both"/>
        <w:rPr>
          <w:rFonts w:ascii="Times New Roman" w:hAnsi="Times New Roman" w:cs="Times New Roman"/>
          <w:sz w:val="24"/>
          <w:szCs w:val="24"/>
          <w:lang w:eastAsia="ru-RU"/>
        </w:rPr>
      </w:pPr>
      <w:r>
        <w:rPr>
          <w:rFonts w:cs="Times New Roman" w:ascii="Times New Roman" w:hAnsi="Times New Roman"/>
          <w:sz w:val="24"/>
          <w:szCs w:val="24"/>
          <w:lang w:eastAsia="ru-RU"/>
        </w:rPr>
        <w:t>расторгнуть договор купли</w:t>
        <w:noBreakHyphen/>
        <w:t>продажи и вернуть уплаченную сумму.</w:t>
      </w:r>
    </w:p>
    <w:p>
      <w:pPr>
        <w:pStyle w:val="NoSpacing"/>
        <w:numPr>
          <w:ilvl w:val="0"/>
          <w:numId w:val="0"/>
        </w:numPr>
        <w:ind w:left="720" w:hanging="0"/>
        <w:jc w:val="both"/>
        <w:rPr>
          <w:rFonts w:ascii="Times New Roman" w:hAnsi="Times New Roman" w:cs="Times New Roman"/>
          <w:sz w:val="24"/>
          <w:szCs w:val="24"/>
          <w:lang w:eastAsia="ru-RU"/>
        </w:rPr>
      </w:pPr>
      <w:r>
        <w:rPr/>
      </w:r>
    </w:p>
    <w:p>
      <w:pPr>
        <w:pStyle w:val="NoSpacing"/>
        <w:jc w:val="both"/>
        <w:rPr>
          <w:rFonts w:ascii="Times New Roman" w:hAnsi="Times New Roman" w:cs="Times New Roman"/>
          <w:sz w:val="24"/>
          <w:szCs w:val="24"/>
          <w:lang w:eastAsia="ru-RU"/>
        </w:rPr>
      </w:pPr>
      <w:r>
        <w:rPr>
          <w:rFonts w:cs="Times New Roman" w:ascii="Times New Roman" w:hAnsi="Times New Roman"/>
          <w:sz w:val="24"/>
          <w:szCs w:val="24"/>
          <w:lang w:eastAsia="ru-RU"/>
        </w:rPr>
        <w:tab/>
        <w:t>Важные нюансы: если между покупателем и продавцом возникает спор о причинах возникновения недостатков, продавец вправе назначить экспертизу. Её цель — установить, стал ли дефект следствием производственного брака или нарушения правил хранения и эксплуатации со стороны потребителя. В случае если экспертиза подтвердит вину покупателя, ему придётся возместить продавцу расходы на её проведение.</w:t>
      </w:r>
    </w:p>
    <w:p>
      <w:pPr>
        <w:pStyle w:val="NoSpacing"/>
        <w:jc w:val="both"/>
        <w:rPr>
          <w:rFonts w:ascii="Times New Roman" w:hAnsi="Times New Roman" w:cs="Times New Roman"/>
          <w:sz w:val="24"/>
          <w:szCs w:val="24"/>
          <w:lang w:eastAsia="ru-RU"/>
        </w:rPr>
      </w:pPr>
      <w:r>
        <w:rPr>
          <w:rFonts w:cs="Times New Roman" w:ascii="Times New Roman" w:hAnsi="Times New Roman"/>
          <w:sz w:val="24"/>
          <w:szCs w:val="24"/>
          <w:lang w:eastAsia="ru-RU"/>
        </w:rPr>
        <w:tab/>
        <w:t>Для упрощения процедуры возврата рекомендуется сохранять упаковку, и чек — это поможет быстрее подтвердить факт покупки и состояние товара.</w:t>
      </w:r>
    </w:p>
    <w:p>
      <w:pPr>
        <w:pStyle w:val="Normal"/>
        <w:shd w:val="clear" w:color="auto" w:fill="FFFFFF"/>
        <w:spacing w:lineRule="atLeast" w:line="330" w:before="120" w:after="120"/>
        <w:jc w:val="center"/>
        <w:rPr>
          <w:b w:val="false"/>
          <w:bCs w:val="false"/>
          <w:i/>
          <w:i/>
          <w:iCs/>
          <w:color w:val="C9211E"/>
        </w:rPr>
      </w:pPr>
      <w:r>
        <w:rPr>
          <w:rFonts w:eastAsia="Times New Roman" w:cs="Times New Roman" w:ascii="Times New Roman" w:hAnsi="Times New Roman"/>
          <w:b w:val="false"/>
          <w:bCs w:val="false"/>
          <w:i/>
          <w:iCs/>
          <w:color w:val="C9211E"/>
          <w:sz w:val="24"/>
          <w:szCs w:val="24"/>
          <w:lang w:eastAsia="ru-RU"/>
        </w:rPr>
        <w:t>Если продавец отказывает в удовлетворении законных требований, нужно составить письменную претензию в двух экземплярах (один передать продавцу, второй оставить себе с отметкой о приёме) и при необходимости обратиться за защитой своих прав в судебные органы. </w:t>
      </w:r>
    </w:p>
    <w:p>
      <w:pPr>
        <w:pStyle w:val="NoSpacing"/>
        <w:rPr>
          <w:rFonts w:ascii="Times New Roman" w:hAnsi="Times New Roman" w:cs="Times New Roman"/>
          <w:sz w:val="24"/>
          <w:szCs w:val="24"/>
          <w:lang w:eastAsia="ru-RU"/>
        </w:rPr>
      </w:pPr>
      <w:r>
        <w:rPr/>
      </w:r>
    </w:p>
    <w:p>
      <w:pPr>
        <w:pStyle w:val="NoSpacing"/>
        <w:rPr>
          <w:rFonts w:ascii="Times New Roman" w:hAnsi="Times New Roman" w:cs="Times New Roman"/>
          <w:sz w:val="24"/>
          <w:szCs w:val="24"/>
          <w:lang w:eastAsia="ru-RU"/>
        </w:rPr>
      </w:pPr>
      <w:r>
        <w:rPr/>
      </w:r>
    </w:p>
    <w:p>
      <w:pPr>
        <w:pStyle w:val="NoSpacing"/>
        <w:rPr>
          <w:rFonts w:ascii="Times New Roman" w:hAnsi="Times New Roman" w:cs="Times New Roman"/>
          <w:sz w:val="24"/>
          <w:szCs w:val="24"/>
          <w:lang w:eastAsia="ru-RU"/>
        </w:rPr>
      </w:pPr>
      <w:r>
        <w:rPr/>
      </w:r>
    </w:p>
    <w:p>
      <w:pPr>
        <w:pStyle w:val="NoSpacing"/>
        <w:jc w:val="right"/>
        <w:rPr>
          <w:rFonts w:ascii="Times New Roman" w:hAnsi="Times New Roman" w:cs="Times New Roman"/>
          <w:b/>
          <w:i/>
          <w:i/>
          <w:sz w:val="24"/>
          <w:szCs w:val="24"/>
        </w:rPr>
      </w:pPr>
      <w:r>
        <w:rPr>
          <w:rFonts w:cs="Times New Roman" w:ascii="Times New Roman" w:hAnsi="Times New Roman"/>
          <w:b/>
          <w:i/>
          <w:sz w:val="24"/>
          <w:szCs w:val="24"/>
        </w:rPr>
        <w:t xml:space="preserve">Набережночелнинский территориальный орган </w:t>
      </w:r>
    </w:p>
    <w:p>
      <w:pPr>
        <w:pStyle w:val="NoSpacing"/>
        <w:jc w:val="right"/>
        <w:rPr>
          <w:rFonts w:ascii="Times New Roman" w:hAnsi="Times New Roman" w:cs="Times New Roman"/>
          <w:b/>
          <w:i/>
          <w:i/>
          <w:sz w:val="24"/>
          <w:szCs w:val="24"/>
        </w:rPr>
      </w:pPr>
      <w:r>
        <w:rPr>
          <w:rFonts w:cs="Times New Roman" w:ascii="Times New Roman" w:hAnsi="Times New Roman"/>
          <w:b/>
          <w:i/>
          <w:sz w:val="24"/>
          <w:szCs w:val="24"/>
        </w:rPr>
        <w:t>Госалкогольинспекции Республики Татарстан</w:t>
      </w:r>
    </w:p>
    <w:sectPr>
      <w:type w:val="nextPage"/>
      <w:pgSz w:w="11906" w:h="16838"/>
      <w:pgMar w:left="1134" w:right="849" w:gutter="0" w:header="0" w:top="850" w:footer="0" w:bottom="85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default"/>
  </w:font>
  <w:font w:name="Cambria">
    <w:charset w:val="01"/>
    <w:family w:val="roman"/>
    <w:pitch w:val="default"/>
  </w:font>
  <w:font w:name="OpenSymbol">
    <w:altName w:val="Arial Unicode MS"/>
    <w:charset w:val="02"/>
    <w:family w:val="auto"/>
    <w:pitch w:val="default"/>
  </w:font>
  <w:font w:name="PT Astra Serif">
    <w:charset w:val="01"/>
    <w:family w:val="roman"/>
    <w:pitch w:val="default"/>
  </w:font>
  <w:font w:name="Times New Roman">
    <w:charset w:val="01"/>
    <w:family w:val="roman"/>
    <w:pitch w:val="default"/>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paragraph" w:styleId="2">
    <w:name w:val="Heading 2"/>
    <w:basedOn w:val="Normal"/>
    <w:next w:val="Normal"/>
    <w:link w:val="21"/>
    <w:uiPriority w:val="9"/>
    <w:semiHidden/>
    <w:unhideWhenUsed/>
    <w:qFormat/>
    <w:rsid w:val="00a0399a"/>
    <w:pPr>
      <w:keepNext w:val="true"/>
      <w:keepLines/>
      <w:spacing w:before="200" w:after="0"/>
      <w:outlineLvl w:val="1"/>
    </w:pPr>
    <w:rPr>
      <w:rFonts w:ascii="Cambria" w:hAnsi="Cambria" w:eastAsia="" w:cs="" w:asciiTheme="majorHAnsi" w:cstheme="majorBidi" w:eastAsiaTheme="majorEastAsia" w:hAnsiTheme="majorHAnsi"/>
      <w:b/>
      <w:bCs/>
      <w:color w:val="4F81BD" w:themeColor="accent1"/>
      <w:sz w:val="26"/>
      <w:szCs w:val="26"/>
    </w:rPr>
  </w:style>
  <w:style w:type="character" w:styleId="DefaultParagraphFont" w:default="1">
    <w:name w:val="Default Paragraph Font"/>
    <w:uiPriority w:val="1"/>
    <w:semiHidden/>
    <w:unhideWhenUsed/>
    <w:qFormat/>
    <w:rPr/>
  </w:style>
  <w:style w:type="character" w:styleId="Markdown-word" w:customStyle="1">
    <w:name w:val="markdown-word"/>
    <w:basedOn w:val="DefaultParagraphFont"/>
    <w:qFormat/>
    <w:rsid w:val="004f615a"/>
    <w:rPr/>
  </w:style>
  <w:style w:type="character" w:styleId="21" w:customStyle="1">
    <w:name w:val="Заголовок 2 Знак"/>
    <w:basedOn w:val="DefaultParagraphFont"/>
    <w:uiPriority w:val="9"/>
    <w:qFormat/>
    <w:rsid w:val="00a0399a"/>
    <w:rPr>
      <w:rFonts w:ascii="Cambria" w:hAnsi="Cambria" w:eastAsia="" w:cs="" w:asciiTheme="majorHAnsi" w:cstheme="majorBidi" w:eastAsiaTheme="majorEastAsia" w:hAnsiTheme="majorHAnsi"/>
      <w:b/>
      <w:bCs/>
      <w:color w:val="4F81BD" w:themeColor="accent1"/>
      <w:sz w:val="26"/>
      <w:szCs w:val="26"/>
    </w:rPr>
  </w:style>
  <w:style w:type="character" w:styleId="Style13">
    <w:name w:val="Маркеры"/>
    <w:qFormat/>
    <w:rPr>
      <w:rFonts w:ascii="OpenSymbol" w:hAnsi="OpenSymbol" w:eastAsia="OpenSymbol" w:cs="OpenSymbol"/>
    </w:rPr>
  </w:style>
  <w:style w:type="paragraph" w:styleId="Style14">
    <w:name w:val="Заголовок"/>
    <w:basedOn w:val="Normal"/>
    <w:next w:val="Style15"/>
    <w:qFormat/>
    <w:pPr>
      <w:keepNext w:val="true"/>
      <w:spacing w:before="240" w:after="120"/>
    </w:pPr>
    <w:rPr>
      <w:rFonts w:ascii="PT Astra Serif" w:hAnsi="PT Astra Serif" w:eastAsia="Tahoma" w:cs="Noto Sans Devanagari"/>
      <w:sz w:val="28"/>
      <w:szCs w:val="28"/>
    </w:rPr>
  </w:style>
  <w:style w:type="paragraph" w:styleId="Style15">
    <w:name w:val="Body Text"/>
    <w:basedOn w:val="Normal"/>
    <w:pPr>
      <w:spacing w:lineRule="auto" w:line="276" w:before="0" w:after="140"/>
    </w:pPr>
    <w:rPr/>
  </w:style>
  <w:style w:type="paragraph" w:styleId="Style16">
    <w:name w:val="List"/>
    <w:basedOn w:val="Style15"/>
    <w:pPr/>
    <w:rPr>
      <w:rFonts w:ascii="PT Astra Serif" w:hAnsi="PT Astra Serif" w:cs="Noto Sans Devanagari"/>
    </w:rPr>
  </w:style>
  <w:style w:type="paragraph" w:styleId="Style17">
    <w:name w:val="Caption"/>
    <w:basedOn w:val="Normal"/>
    <w:qFormat/>
    <w:pPr>
      <w:suppressLineNumbers/>
      <w:spacing w:before="120" w:after="120"/>
    </w:pPr>
    <w:rPr>
      <w:rFonts w:ascii="PT Astra Serif" w:hAnsi="PT Astra Serif" w:cs="Noto Sans Devanagari"/>
      <w:i/>
      <w:iCs/>
      <w:sz w:val="24"/>
      <w:szCs w:val="24"/>
    </w:rPr>
  </w:style>
  <w:style w:type="paragraph" w:styleId="Style18">
    <w:name w:val="Указатель"/>
    <w:basedOn w:val="Normal"/>
    <w:qFormat/>
    <w:pPr>
      <w:suppressLineNumbers/>
    </w:pPr>
    <w:rPr>
      <w:rFonts w:ascii="PT Astra Serif" w:hAnsi="PT Astra Serif" w:cs="Noto Sans Devanagari"/>
    </w:rPr>
  </w:style>
  <w:style w:type="paragraph" w:styleId="NoSpacing">
    <w:name w:val="No Spacing"/>
    <w:uiPriority w:val="1"/>
    <w:qFormat/>
    <w:rsid w:val="004f615a"/>
    <w:pPr>
      <w:widowControl/>
      <w:bidi w:val="0"/>
      <w:spacing w:lineRule="auto" w:line="240" w:before="0" w:after="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paragraph" w:styleId="NormalWeb">
    <w:name w:val="Normal (Web)"/>
    <w:basedOn w:val="Normal"/>
    <w:uiPriority w:val="99"/>
    <w:semiHidden/>
    <w:unhideWhenUsed/>
    <w:qFormat/>
    <w:rsid w:val="0038201f"/>
    <w:pPr>
      <w:spacing w:lineRule="auto" w:line="240" w:beforeAutospacing="1" w:afterAutospacing="1"/>
    </w:pPr>
    <w:rPr>
      <w:rFonts w:ascii="Times New Roman" w:hAnsi="Times New Roman" w:eastAsia="Times New Roman" w:cs="Times New Roman"/>
      <w:sz w:val="24"/>
      <w:szCs w:val="24"/>
      <w:lang w:eastAsia="ru-RU"/>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317</TotalTime>
  <Application>LibreOffice/7.5.6.2$Linux_X86_64 LibreOffice_project/50$Build-2</Application>
  <AppVersion>15.0000</AppVersion>
  <Pages>2</Pages>
  <Words>366</Words>
  <Characters>2462</Characters>
  <CharactersWithSpaces>2821</CharactersWithSpaces>
  <Paragraphs>14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2026-07-02T10:47:00Z</dcterms:created>
  <dc:creator>тестовый</dc:creator>
  <dc:description/>
  <dc:language>ru-RU</dc:language>
  <cp:lastModifiedBy/>
  <cp:lastPrinted>2026-08-07T06:46:00Z</cp:lastPrinted>
  <dcterms:modified xsi:type="dcterms:W3CDTF">2026-08-10T09:30:36Z</dcterms:modified>
  <cp:revision>21</cp:revision>
  <dc:subject/>
  <dc:title/>
</cp:coreProperties>
</file>

<file path=docProps/custom.xml><?xml version="1.0" encoding="utf-8"?>
<Properties xmlns="http://schemas.openxmlformats.org/officeDocument/2006/custom-properties" xmlns:vt="http://schemas.openxmlformats.org/officeDocument/2006/docPropsVTypes"/>
</file>