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_rels/numbering.xml.rels" ContentType="application/vnd.openxmlformats-package.relationship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media/image1.png" ContentType="image/png"/>
  <Override PartName="/word/media/image2.gif" ContentType="image/gif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C00000"/>
          <w:sz w:val="40"/>
          <w:szCs w:val="4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C00000"/>
          <w:sz w:val="40"/>
          <w:szCs w:val="40"/>
          <w:lang w:eastAsia="ru-RU"/>
        </w:rPr>
        <w:t>ДЕЙСТВИЯ БАНКОВ С ЦЕЛЬЮ  ПРЕДОТВРАЩЕНИЯ ПРОТИВОПРАВНЫХ СИТУАЦИЙ С НЕСОВЕРШЕННОЛЕТНИМИ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</w:r>
    </w:p>
    <w:p>
      <w:pPr>
        <w:pStyle w:val="NoSpacing"/>
        <w:ind w:firstLine="851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3810</wp:posOffset>
            </wp:positionH>
            <wp:positionV relativeFrom="paragraph">
              <wp:posOffset>-3175</wp:posOffset>
            </wp:positionV>
            <wp:extent cx="2354580" cy="1333500"/>
            <wp:effectExtent l="0" t="0" r="0" b="0"/>
            <wp:wrapSquare wrapText="bothSides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58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 w:ascii="Times New Roman" w:hAnsi="Times New Roman"/>
          <w:sz w:val="28"/>
          <w:szCs w:val="28"/>
          <w:lang w:eastAsia="ru-RU"/>
        </w:rPr>
        <w:t>Д</w:t>
      </w:r>
      <w:r>
        <w:rPr>
          <w:rFonts w:cs="Times New Roman" w:ascii="Times New Roman" w:hAnsi="Times New Roman"/>
          <w:sz w:val="28"/>
          <w:szCs w:val="28"/>
          <w:lang w:eastAsia="ru-RU"/>
        </w:rPr>
        <w:t>ля предотвращения ситуаций, когда несовершеннолетних клиентов банков втягивают в операции по отмыванию доходов, незаконное предпринимательство, дропперство и другие противоправные схемы, Банк России разработал методические рекомендации от 17 сентября 2025 г. №</w:t>
      </w:r>
      <w:r>
        <w:rPr>
          <w:rFonts w:cs="Times New Roman" w:ascii="Times New Roman" w:hAnsi="Times New Roman"/>
          <w:sz w:val="28"/>
          <w:szCs w:val="28"/>
          <w:lang w:eastAsia="ru-RU"/>
        </w:rPr>
        <w:t> </w:t>
      </w:r>
      <w:r>
        <w:rPr>
          <w:rFonts w:cs="Times New Roman" w:ascii="Times New Roman" w:hAnsi="Times New Roman"/>
          <w:sz w:val="28"/>
          <w:szCs w:val="28"/>
          <w:lang w:eastAsia="ru-RU"/>
        </w:rPr>
        <w:t>12-МР «О повышении внимания кредитных организаций к отдельным операциям клиентов - физических лиц» (далее – Методические рекомендации).</w:t>
      </w:r>
      <w:r>
        <w:rPr>
          <w:rFonts w:cs="Times New Roman" w:ascii="Times New Roman" w:hAnsi="Times New Roman"/>
          <w:color w:val="333333"/>
          <w:sz w:val="28"/>
          <w:szCs w:val="28"/>
        </w:rPr>
        <w:t xml:space="preserve"> </w:t>
      </w:r>
    </w:p>
    <w:p>
      <w:pPr>
        <w:pStyle w:val="Normal"/>
        <w:shd w:val="clear" w:color="auto" w:fill="FFFFFF"/>
        <w:spacing w:lineRule="auto" w:line="240" w:before="0" w:after="0"/>
        <w:ind w:firstLine="851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 документе предлагается три направления деятельности.</w:t>
      </w:r>
    </w:p>
    <w:p>
      <w:pPr>
        <w:pStyle w:val="ListParagraph"/>
        <w:numPr>
          <w:ilvl w:val="0"/>
          <w:numId w:val="1"/>
        </w:numPr>
        <w:shd w:val="clear" w:color="auto" w:fill="FFFFFF"/>
        <w:spacing w:lineRule="auto" w:line="240" w:before="0" w:after="0"/>
        <w:ind w:left="0" w:hanging="0"/>
        <w:contextualSpacing/>
        <w:jc w:val="both"/>
        <w:rPr>
          <w:rFonts w:ascii="Arial" w:hAnsi="Arial" w:eastAsia="Times New Roman" w:cs="Arial"/>
          <w:color w:val="C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C00000"/>
          <w:sz w:val="28"/>
          <w:szCs w:val="28"/>
          <w:lang w:eastAsia="ru-RU"/>
        </w:rPr>
        <w:t>Во-первых, банки должны проводить разъяснительную работу, в частности:</w:t>
      </w:r>
    </w:p>
    <w:p>
      <w:pPr>
        <w:pStyle w:val="ListParagraph"/>
        <w:numPr>
          <w:ilvl w:val="0"/>
          <w:numId w:val="2"/>
        </w:numPr>
        <w:shd w:val="clear" w:color="auto" w:fill="FFFFFF"/>
        <w:spacing w:lineRule="auto" w:line="240" w:before="0" w:after="0"/>
        <w:contextualSpacing/>
        <w:jc w:val="both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предупреждать подростков о рисках сразу при открытии счета;</w:t>
      </w:r>
    </w:p>
    <w:p>
      <w:pPr>
        <w:pStyle w:val="ListParagraph"/>
        <w:numPr>
          <w:ilvl w:val="0"/>
          <w:numId w:val="2"/>
        </w:numPr>
        <w:shd w:val="clear" w:color="auto" w:fill="FFFFFF"/>
        <w:spacing w:lineRule="auto" w:line="240" w:before="0" w:after="0"/>
        <w:contextualSpacing/>
        <w:jc w:val="both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информировать родителей о выданных картах и операциях;</w:t>
      </w:r>
    </w:p>
    <w:p>
      <w:pPr>
        <w:pStyle w:val="ListParagraph"/>
        <w:numPr>
          <w:ilvl w:val="0"/>
          <w:numId w:val="2"/>
        </w:numPr>
        <w:shd w:val="clear" w:color="auto" w:fill="FFFFFF"/>
        <w:spacing w:lineRule="auto" w:line="240" w:before="0" w:after="0"/>
        <w:contextualSpacing/>
        <w:jc w:val="both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усилить информационно-разъяснительную работу о рисках и последствиях вовлечения в противоправную деятельность.</w:t>
      </w:r>
    </w:p>
    <w:p>
      <w:pPr>
        <w:pStyle w:val="ListParagraph"/>
        <w:numPr>
          <w:ilvl w:val="0"/>
          <w:numId w:val="1"/>
        </w:numPr>
        <w:shd w:val="clear" w:color="auto" w:fill="FFFFFF"/>
        <w:spacing w:lineRule="auto" w:line="240" w:before="0" w:after="0"/>
        <w:ind w:left="0" w:hanging="0"/>
        <w:contextualSpacing/>
        <w:jc w:val="both"/>
        <w:rPr>
          <w:rFonts w:ascii="Arial" w:hAnsi="Arial" w:eastAsia="Times New Roman" w:cs="Arial"/>
          <w:color w:val="C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C00000"/>
          <w:sz w:val="28"/>
          <w:szCs w:val="28"/>
          <w:lang w:eastAsia="ru-RU"/>
        </w:rPr>
        <w:t>Во-вторых, банкам следует выявлять подозрительные операции:</w:t>
      </w:r>
    </w:p>
    <w:p>
      <w:pPr>
        <w:pStyle w:val="ListParagraph"/>
        <w:numPr>
          <w:ilvl w:val="0"/>
          <w:numId w:val="3"/>
        </w:numPr>
        <w:shd w:val="clear" w:color="auto" w:fill="FFFFFF"/>
        <w:spacing w:lineRule="auto" w:line="240" w:before="0" w:after="0"/>
        <w:contextualSpacing/>
        <w:jc w:val="both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pacing w:val="-3"/>
          <w:sz w:val="28"/>
          <w:szCs w:val="28"/>
          <w:lang w:eastAsia="ru-RU"/>
        </w:rPr>
        <w:t>банкам рекомендовано в своих внутренних документах по противодействию отмыванию доходов определять признаки, которые могут указывать на вовлечение несовершеннолетних в незаконные операции;</w:t>
      </w:r>
    </w:p>
    <w:p>
      <w:pPr>
        <w:pStyle w:val="ListParagraph"/>
        <w:numPr>
          <w:ilvl w:val="0"/>
          <w:numId w:val="3"/>
        </w:numPr>
        <w:shd w:val="clear" w:color="auto" w:fill="FFFFFF"/>
        <w:spacing w:lineRule="auto" w:line="240" w:before="0" w:after="0"/>
        <w:contextualSpacing/>
        <w:jc w:val="both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узнавать у подростков о лицах, которые могут переводить им деньги, и кому они планируют переводить средства;</w:t>
      </w:r>
    </w:p>
    <w:p>
      <w:pPr>
        <w:pStyle w:val="ListParagraph"/>
        <w:numPr>
          <w:ilvl w:val="0"/>
          <w:numId w:val="3"/>
        </w:numPr>
        <w:shd w:val="clear" w:color="auto" w:fill="FFFFFF"/>
        <w:spacing w:lineRule="auto" w:line="240" w:before="0" w:after="0"/>
        <w:contextualSpacing/>
        <w:jc w:val="both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при получении крупных переводов от неизвестных лиц или при крупных переводах со стороны подростка связываться с его законным представителем;</w:t>
      </w:r>
    </w:p>
    <w:p>
      <w:pPr>
        <w:pStyle w:val="ListParagraph"/>
        <w:numPr>
          <w:ilvl w:val="0"/>
          <w:numId w:val="3"/>
        </w:numPr>
        <w:shd w:val="clear" w:color="auto" w:fill="FFFFFF"/>
        <w:spacing w:lineRule="auto" w:line="240" w:before="0" w:after="0"/>
        <w:contextualSpacing/>
        <w:jc w:val="both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вводить лимиты на проведение отдельных операций;</w:t>
      </w:r>
    </w:p>
    <w:p>
      <w:pPr>
        <w:pStyle w:val="ListParagraph"/>
        <w:numPr>
          <w:ilvl w:val="0"/>
          <w:numId w:val="3"/>
        </w:numPr>
        <w:shd w:val="clear" w:color="auto" w:fill="FFFFFF"/>
        <w:spacing w:lineRule="auto" w:line="240" w:before="0" w:after="0"/>
        <w:contextualSpacing/>
        <w:jc w:val="both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отказывать в проведении операций, если есть подозрения в несамостоятельности действий подростка.</w:t>
      </w:r>
    </w:p>
    <w:p>
      <w:pPr>
        <w:pStyle w:val="ListParagraph"/>
        <w:numPr>
          <w:ilvl w:val="0"/>
          <w:numId w:val="1"/>
        </w:numPr>
        <w:shd w:val="clear" w:color="auto" w:fill="FFFFFF"/>
        <w:spacing w:lineRule="auto" w:line="240" w:before="0" w:after="0"/>
        <w:ind w:left="0" w:hanging="0"/>
        <w:contextualSpacing/>
        <w:jc w:val="both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И в-третьих, банкам</w:t>
      </w:r>
      <w:r>
        <w:rPr>
          <w:rFonts w:eastAsia="Times New Roman" w:cs="Times New Roman" w:ascii="Times New Roman" w:hAnsi="Times New Roman"/>
          <w:color w:val="C00000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необходимо объяснять подросткам</w:t>
      </w:r>
      <w:r>
        <w:rPr>
          <w:rFonts w:eastAsia="Times New Roman" w:cs="Times New Roman" w:ascii="Times New Roman" w:hAnsi="Times New Roman"/>
          <w:color w:val="C00000"/>
          <w:sz w:val="28"/>
          <w:szCs w:val="28"/>
          <w:lang w:eastAsia="ru-RU"/>
        </w:rPr>
        <w:t xml:space="preserve">, </w:t>
      </w: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как противостоять мошенникам: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 </w:t>
      </w:r>
    </w:p>
    <w:p>
      <w:pPr>
        <w:pStyle w:val="ListParagraph"/>
        <w:numPr>
          <w:ilvl w:val="0"/>
          <w:numId w:val="4"/>
        </w:numPr>
        <w:shd w:val="clear" w:color="auto" w:fill="FFFFFF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не сообщать данные карты третьим лицам; </w:t>
      </w:r>
    </w:p>
    <w:p>
      <w:pPr>
        <w:pStyle w:val="ListParagraph"/>
        <w:numPr>
          <w:ilvl w:val="0"/>
          <w:numId w:val="4"/>
        </w:numPr>
        <w:shd w:val="clear" w:color="auto" w:fill="FFFFFF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не передавать карту и доступ к электронным средствам платежа; </w:t>
      </w:r>
    </w:p>
    <w:p>
      <w:pPr>
        <w:pStyle w:val="ListParagraph"/>
        <w:numPr>
          <w:ilvl w:val="0"/>
          <w:numId w:val="4"/>
        </w:numPr>
        <w:shd w:val="clear" w:color="auto" w:fill="FFFFFF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не переводить деньги по просьбе неизвестных; </w:t>
      </w:r>
    </w:p>
    <w:p>
      <w:pPr>
        <w:pStyle w:val="ListParagraph"/>
        <w:numPr>
          <w:ilvl w:val="0"/>
          <w:numId w:val="4"/>
        </w:numPr>
        <w:shd w:val="clear" w:color="auto" w:fill="FFFFFF"/>
        <w:spacing w:lineRule="auto" w:line="240" w:before="0" w:after="0"/>
        <w:contextualSpacing/>
        <w:jc w:val="both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не соглашаться вносить/снимать деньги в банкомате для неизвестных лиц.</w:t>
      </w:r>
    </w:p>
    <w:p>
      <w:pPr>
        <w:pStyle w:val="Normal"/>
        <w:shd w:val="clear" w:color="auto" w:fill="FFFFFF"/>
        <w:spacing w:lineRule="auto" w:line="240" w:before="0" w:after="0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Кроме того, Банк России рекомендует провести работу по уточнению условий договоров с несовершеннолетними клиентами, предусмотрев в них условие об уведомлении их законных представителей (родителей, усыновителей или попечителя) о предоставлении электронных средств платежа и совершаемых операциях.</w:t>
      </w:r>
    </w:p>
    <w:p>
      <w:pPr>
        <w:pStyle w:val="Normal"/>
        <w:shd w:val="clear" w:color="auto" w:fill="FFFFFF"/>
        <w:spacing w:lineRule="auto" w:line="240" w:before="0" w:after="0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/>
      </w:r>
    </w:p>
    <w:p>
      <w:pPr>
        <w:pStyle w:val="Normal"/>
        <w:shd w:val="clear" w:color="auto" w:fill="FFFFFF"/>
        <w:spacing w:lineRule="auto" w:line="240" w:before="0" w:after="0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/>
      </w:r>
    </w:p>
    <w:p>
      <w:pPr>
        <w:pStyle w:val="Normal"/>
        <w:shd w:val="clear" w:color="auto" w:fill="FFFFFF"/>
        <w:spacing w:lineRule="auto" w:line="240" w:before="0" w:after="0"/>
        <w:ind w:firstLine="851"/>
        <w:jc w:val="righ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b/>
          <w:sz w:val="22"/>
          <w:szCs w:val="22"/>
          <w:lang w:eastAsia="ru-RU"/>
        </w:rPr>
        <w:t>Набережночелнинский</w:t>
      </w:r>
      <w:r>
        <w:rPr>
          <w:rFonts w:eastAsia="Times New Roman" w:cs="Times New Roman" w:ascii="Times New Roman" w:hAnsi="Times New Roman"/>
          <w:b/>
          <w:spacing w:val="-3"/>
          <w:sz w:val="22"/>
          <w:szCs w:val="22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/>
          <w:sz w:val="22"/>
          <w:szCs w:val="22"/>
          <w:lang w:eastAsia="ru-RU"/>
        </w:rPr>
        <w:t>филиал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  <w:b/>
          <w:sz w:val="22"/>
          <w:szCs w:val="22"/>
        </w:rPr>
        <w:t>Федерального</w:t>
      </w:r>
      <w:r>
        <w:rPr>
          <w:rFonts w:ascii="Times New Roman" w:hAnsi="Times New Roman"/>
          <w:b/>
          <w:spacing w:val="-10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бюджетного</w:t>
      </w:r>
      <w:r>
        <w:rPr>
          <w:rFonts w:ascii="Times New Roman" w:hAnsi="Times New Roman"/>
          <w:b/>
          <w:spacing w:val="-10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учреждения</w:t>
      </w:r>
      <w:r>
        <w:rPr>
          <w:rFonts w:ascii="Times New Roman" w:hAnsi="Times New Roman"/>
          <w:b/>
          <w:spacing w:val="-10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здравоохранения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  <w:b/>
          <w:sz w:val="22"/>
          <w:szCs w:val="22"/>
        </w:rPr>
        <w:t>«Центр</w:t>
      </w:r>
      <w:r>
        <w:rPr>
          <w:rFonts w:ascii="Times New Roman" w:hAnsi="Times New Roman"/>
          <w:b/>
          <w:spacing w:val="-4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гигиены</w:t>
      </w:r>
      <w:r>
        <w:rPr>
          <w:rFonts w:ascii="Times New Roman" w:hAnsi="Times New Roman"/>
          <w:b/>
          <w:spacing w:val="-7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и</w:t>
      </w:r>
      <w:r>
        <w:rPr>
          <w:rFonts w:ascii="Times New Roman" w:hAnsi="Times New Roman"/>
          <w:b/>
          <w:spacing w:val="-2"/>
          <w:sz w:val="22"/>
          <w:szCs w:val="22"/>
        </w:rPr>
        <w:t xml:space="preserve"> эпидемиологии </w:t>
      </w:r>
      <w:r>
        <w:rPr>
          <w:rFonts w:ascii="Times New Roman" w:hAnsi="Times New Roman"/>
          <w:b/>
          <w:sz w:val="22"/>
          <w:szCs w:val="22"/>
        </w:rPr>
        <w:t>в</w:t>
      </w:r>
      <w:r>
        <w:rPr>
          <w:rFonts w:ascii="Times New Roman" w:hAnsi="Times New Roman"/>
          <w:b/>
          <w:spacing w:val="-7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Республике</w:t>
      </w:r>
      <w:r>
        <w:rPr>
          <w:rFonts w:ascii="Times New Roman" w:hAnsi="Times New Roman"/>
          <w:b/>
          <w:spacing w:val="-5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Татарстан</w:t>
      </w:r>
      <w:r>
        <w:rPr>
          <w:rFonts w:ascii="Times New Roman" w:hAnsi="Times New Roman"/>
          <w:b/>
          <w:spacing w:val="-5"/>
          <w:sz w:val="22"/>
          <w:szCs w:val="22"/>
        </w:rPr>
        <w:t xml:space="preserve"> </w:t>
      </w:r>
      <w:r>
        <w:rPr>
          <w:rFonts w:ascii="Times New Roman" w:hAnsi="Times New Roman"/>
          <w:b/>
          <w:spacing w:val="-2"/>
          <w:sz w:val="22"/>
          <w:szCs w:val="22"/>
        </w:rPr>
        <w:t>(Татарстан)»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  <w:b/>
          <w:bCs/>
          <w:spacing w:val="-2"/>
          <w:sz w:val="22"/>
          <w:szCs w:val="22"/>
        </w:rPr>
        <w:t>8 (8552) 46-41-52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b/>
          <w:bCs/>
          <w:spacing w:val="-2"/>
          <w:sz w:val="22"/>
          <w:szCs w:val="22"/>
          <w:lang w:eastAsia="ru-RU"/>
        </w:rPr>
        <w:t>г.Набережные Челны, ул. Низаметдинова, 14.</w:t>
      </w:r>
    </w:p>
    <w:sectPr>
      <w:type w:val="nextPage"/>
      <w:pgSz w:w="11906" w:h="16838"/>
      <w:pgMar w:left="567" w:right="567" w:gutter="0" w:header="0" w:top="568" w:footer="0" w:bottom="56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libri Light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Arial">
    <w:charset w:val="01"/>
    <w:family w:val="roman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numPicBullet w:numPicBulletId="0">
    <w:pict>
      <v:shape style="width:7.8pt;height:7.8pt" o:bullet="t">
        <v:imagedata r:id="rId1" o:title=""/>
      </v:shape>
    </w:pict>
  </w:numPicBullet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1211" w:hanging="360"/>
      </w:pPr>
      <w:rPr>
        <w:b/>
        <w:rFonts w:ascii="Times New Roman" w:hAnsi="Times New Roman" w:cs="Times New Roman"/>
        <w:color w:val="C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651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371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091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811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531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251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971" w:hanging="180"/>
      </w:pPr>
      <w:rPr/>
    </w:lvl>
  </w:abstractNum>
  <w:abstractNum w:abstractNumId="2">
    <w:lvl w:ilvl="0">
      <w:start w:val="1"/>
      <w:numFmt w:val="bullet"/>
      <w:lvlText w:val="•"/>
      <w:lvlPicBulletId w:val="0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•"/>
      <w:lvlPicBulletId w:val="0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•"/>
      <w:lvlPicBulletId w:val="0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48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16400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next w:val="Normal"/>
    <w:link w:val="11"/>
    <w:uiPriority w:val="9"/>
    <w:qFormat/>
    <w:rsid w:val="00f74bd5"/>
    <w:pPr>
      <w:keepNext w:val="true"/>
      <w:keepLines/>
      <w:spacing w:before="240" w:after="0"/>
      <w:outlineLvl w:val="0"/>
    </w:pPr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32"/>
      <w:szCs w:val="32"/>
    </w:rPr>
  </w:style>
  <w:style w:type="paragraph" w:styleId="2">
    <w:name w:val="Heading 2"/>
    <w:basedOn w:val="Normal"/>
    <w:next w:val="Normal"/>
    <w:link w:val="21"/>
    <w:uiPriority w:val="9"/>
    <w:semiHidden/>
    <w:unhideWhenUsed/>
    <w:qFormat/>
    <w:rsid w:val="005d2fc5"/>
    <w:pPr>
      <w:keepNext w:val="true"/>
      <w:keepLines/>
      <w:spacing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26"/>
      <w:szCs w:val="26"/>
    </w:rPr>
  </w:style>
  <w:style w:type="paragraph" w:styleId="3">
    <w:name w:val="Heading 3"/>
    <w:basedOn w:val="Normal"/>
    <w:next w:val="Normal"/>
    <w:link w:val="31"/>
    <w:uiPriority w:val="9"/>
    <w:semiHidden/>
    <w:unhideWhenUsed/>
    <w:qFormat/>
    <w:rsid w:val="005d2fc5"/>
    <w:pPr>
      <w:keepNext w:val="true"/>
      <w:keepLines/>
      <w:spacing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val="1F4D78" w:themeColor="accent1" w:themeShade="7f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basedOn w:val="DefaultParagraphFont"/>
    <w:uiPriority w:val="99"/>
    <w:semiHidden/>
    <w:unhideWhenUsed/>
    <w:rsid w:val="00016400"/>
    <w:rPr>
      <w:color w:val="0000FF"/>
      <w:u w:val="single"/>
    </w:rPr>
  </w:style>
  <w:style w:type="character" w:styleId="21" w:customStyle="1">
    <w:name w:val="Заголовок 2 Знак"/>
    <w:basedOn w:val="DefaultParagraphFont"/>
    <w:uiPriority w:val="9"/>
    <w:qFormat/>
    <w:rsid w:val="005d2fc5"/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26"/>
      <w:szCs w:val="26"/>
    </w:rPr>
  </w:style>
  <w:style w:type="character" w:styleId="31" w:customStyle="1">
    <w:name w:val="Заголовок 3 Знак"/>
    <w:basedOn w:val="DefaultParagraphFont"/>
    <w:uiPriority w:val="9"/>
    <w:qFormat/>
    <w:rsid w:val="005d2fc5"/>
    <w:rPr>
      <w:rFonts w:ascii="Calibri Light" w:hAnsi="Calibri Light" w:eastAsia="" w:cs="" w:asciiTheme="majorHAnsi" w:cstheme="majorBidi" w:eastAsiaTheme="majorEastAsia" w:hAnsiTheme="majorHAnsi"/>
      <w:color w:val="1F4D78" w:themeColor="accent1" w:themeShade="7f"/>
      <w:sz w:val="24"/>
      <w:szCs w:val="24"/>
    </w:rPr>
  </w:style>
  <w:style w:type="character" w:styleId="Style11" w:customStyle="1">
    <w:name w:val="Текст выноски Знак"/>
    <w:basedOn w:val="DefaultParagraphFont"/>
    <w:link w:val="BalloonText"/>
    <w:uiPriority w:val="99"/>
    <w:semiHidden/>
    <w:qFormat/>
    <w:rsid w:val="00e6218c"/>
    <w:rPr>
      <w:rFonts w:ascii="Tahoma" w:hAnsi="Tahoma" w:cs="Tahoma"/>
      <w:sz w:val="16"/>
      <w:szCs w:val="16"/>
    </w:rPr>
  </w:style>
  <w:style w:type="character" w:styleId="11" w:customStyle="1">
    <w:name w:val="Заголовок 1 Знак"/>
    <w:basedOn w:val="DefaultParagraphFont"/>
    <w:uiPriority w:val="9"/>
    <w:qFormat/>
    <w:rsid w:val="00f74bd5"/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32"/>
      <w:szCs w:val="32"/>
    </w:rPr>
  </w:style>
  <w:style w:type="character" w:styleId="Style12">
    <w:name w:val="Emphasis"/>
    <w:basedOn w:val="DefaultParagraphFont"/>
    <w:uiPriority w:val="20"/>
    <w:qFormat/>
    <w:rsid w:val="00582cf5"/>
    <w:rPr>
      <w:i/>
      <w:iCs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>
      <w:rFonts w:ascii="PT Astra Serif" w:hAnsi="PT Astra Serif" w:cs="Noto Sans Devanagari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Spacing">
    <w:name w:val="No Spacing"/>
    <w:uiPriority w:val="1"/>
    <w:qFormat/>
    <w:rsid w:val="00016400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BalloonText">
    <w:name w:val="Balloon Text"/>
    <w:basedOn w:val="Normal"/>
    <w:link w:val="Style11"/>
    <w:uiPriority w:val="99"/>
    <w:semiHidden/>
    <w:unhideWhenUsed/>
    <w:qFormat/>
    <w:rsid w:val="00e6218c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qFormat/>
    <w:rsid w:val="00550384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34"/>
    <w:qFormat/>
    <w:rsid w:val="00ef51c7"/>
    <w:pPr>
      <w:spacing w:before="0" w:after="160"/>
      <w:ind w:left="720" w:hanging="0"/>
      <w:contextualSpacing/>
    </w:pPr>
    <w:rPr/>
  </w:style>
  <w:style w:type="paragraph" w:styleId="S1" w:customStyle="1">
    <w:name w:val="s_1"/>
    <w:basedOn w:val="Normal"/>
    <w:qFormat/>
    <w:rsid w:val="00bc3a77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numbering.xml.rels><?xml version="1.0" encoding="UTF-8"?>
<Relationships xmlns="http://schemas.openxmlformats.org/package/2006/relationships"><Relationship Id="rId1" Type="http://schemas.openxmlformats.org/officeDocument/2006/relationships/image" Target="media/image2.gif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Application>LibreOffice/7.5.6.2$Linux_X86_64 LibreOffice_project/50$Build-2</Application>
  <AppVersion>15.0000</AppVersion>
  <Pages>1</Pages>
  <Words>286</Words>
  <Characters>2029</Characters>
  <CharactersWithSpaces>2283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2025-09-30T13:36:00Z</dcterms:created>
  <dc:creator>Карманова Галина Петровна</dc:creator>
  <dc:description/>
  <dc:language>ru-RU</dc:language>
  <cp:lastModifiedBy/>
  <dcterms:modified xsi:type="dcterms:W3CDTF">2025-12-02T11:53:44Z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