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cs="Times New Roman" w:ascii="Times New Roman" w:hAnsi="Times New Roman"/>
          <w:b/>
          <w:color w:val="7030A0"/>
          <w:sz w:val="44"/>
          <w:szCs w:val="44"/>
        </w:rPr>
        <w:t>ИЗМЕНЕНИЯ  В  ДЕЯТЕЛЬНОСТИ МАРКЕТПЛЕЙСОВ  С  1  ОКТЯБРЯ 2026г.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2189480" cy="1544955"/>
            <wp:effectExtent l="0" t="0" r="0" b="0"/>
            <wp:wrapSquare wrapText="bothSides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31.07.2025 года на официальном интернет-портале правовой информации (pravo.gov.ru)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был опубликован Федеральный закон от 31.07.2025г. №</w:t>
      </w:r>
      <w:r>
        <w:rPr>
          <w:rFonts w:cs="Times New Roman" w:ascii="Times New Roman" w:hAnsi="Times New Roman"/>
          <w:sz w:val="28"/>
          <w:szCs w:val="28"/>
        </w:rPr>
        <w:t> </w:t>
      </w:r>
      <w:r>
        <w:rPr>
          <w:rFonts w:cs="Times New Roman" w:ascii="Times New Roman" w:hAnsi="Times New Roman"/>
          <w:sz w:val="28"/>
          <w:szCs w:val="28"/>
        </w:rPr>
        <w:t xml:space="preserve">289-ФЗ «Об отдельных вопросах регулирования платформенной экономики в Российской Федерации» (далее – Закон), который вступит в силу с 01.10.2026 года. Предметом регулирования данного Закона являются отношения между операторами посреднических цифровых платформ, их партнерами, пользователями и иными лицами в связи с продажей товаров, выполнением работ и оказанием услуг. Совокупность таких отношений в Законе именуется </w:t>
      </w:r>
      <w:r>
        <w:rPr>
          <w:rFonts w:cs="Times New Roman" w:ascii="Times New Roman" w:hAnsi="Times New Roman"/>
          <w:b/>
          <w:color w:val="7030A0"/>
          <w:sz w:val="28"/>
          <w:szCs w:val="28"/>
        </w:rPr>
        <w:t>платформенной экономикой</w:t>
      </w:r>
      <w:r>
        <w:rPr>
          <w:rFonts w:cs="Times New Roman" w:ascii="Times New Roman" w:hAnsi="Times New Roman"/>
          <w:sz w:val="28"/>
          <w:szCs w:val="28"/>
        </w:rPr>
        <w:t>, в результате чего д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анный Закон устраняет образовавшийся вакуум и создает специальное правовое поле для платформенной экономики.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законодательных определений цифровой платформы и посреднической цифровой платформы (далее - ПЦП) следует, что под </w:t>
      </w:r>
      <w:r>
        <w:rPr>
          <w:rFonts w:cs="Times New Roman" w:ascii="Times New Roman" w:hAnsi="Times New Roman"/>
          <w:b/>
          <w:color w:val="7030A0"/>
          <w:sz w:val="28"/>
          <w:szCs w:val="28"/>
        </w:rPr>
        <w:t>ПЦП</w:t>
      </w:r>
      <w:r>
        <w:rPr>
          <w:rFonts w:cs="Times New Roman" w:ascii="Times New Roman" w:hAnsi="Times New Roman"/>
          <w:sz w:val="28"/>
          <w:szCs w:val="28"/>
        </w:rPr>
        <w:t xml:space="preserve"> понимаются в первую очередь маркетплейсы - интернет-сайты и приложения, обеспечивающие взаимодействие оператора, партнеров (продавцов/исполнителей) и пользователей в целях заключения гражданско-правовых договоров (в том числе предоставляющие возможность размещения карточек товаров (работ, услуг) или заказов, а также осуществления оплаты товара (работы, услуги).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Закон регулирует отношения на цифровых площадках-посредниках, где: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оператор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(Яндекс.Маркет, Wildberries, Ozon и др.) предоставляет платформу;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партнер (продавец)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предлагает товары, услуги;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пользователь (покупатель)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приобретает товары.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ПЦП – это маркетплейс, который сводит продавцов и покупателей, обеспечивая сделки и расчеты.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В Законе урегулированы определения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карточки товара</w:t>
      </w:r>
      <w:r>
        <w:rPr>
          <w:rFonts w:eastAsia="Times New Roman" w:cs="Times New Roman" w:ascii="Times New Roman" w:hAnsi="Times New Roman"/>
          <w:color w:val="7030A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(цена, описание и фото),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поисковой выдачи</w:t>
      </w:r>
      <w:r>
        <w:rPr>
          <w:rFonts w:eastAsia="Times New Roman" w:cs="Times New Roman" w:ascii="Times New Roman" w:hAnsi="Times New Roman"/>
          <w:color w:val="7030A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(список товаров, который доступен/виден покупателю),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 xml:space="preserve">рейтинга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(оценка товара, продавца, пункта выдачи).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Цели регулирования деятельности маркетплейсов: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создание безопасной и честной цифровой среды для всех;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защита прав и интересов продавцов, покупателей и платформ;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развитие конкуренции, предпринимательства (в т.ч. сектора МСП);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установление единых правил «игры» по всей РФ.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ab/>
        <w:t xml:space="preserve">Новые правила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не коснутся</w:t>
      </w:r>
      <w:r>
        <w:rPr>
          <w:rFonts w:eastAsia="Times New Roman" w:cs="Times New Roman" w:ascii="Times New Roman" w:hAnsi="Times New Roman"/>
          <w:color w:val="7030A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аудиовизуальных сервисов, финансового сектора, официальных интернет-магазинов брендов, площадок для госзакупок и спецплощадок.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color w:val="7030A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Платформенная экономика 2026 года устанавливает следующие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 xml:space="preserve">правила поведения для всех участников: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- свобода договора (пп. 1 п. 1 ст. 3 Закона);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- честные, прозрачные и открытые отношения (правила площадки понятны и доступны);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- запрет дискриминации (равный подход ко всем продавцам категории);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- безопасность и защита прав потребителей.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Закон распространяется как на торговые интернет-площадки, так и на маркетплейсы услуг, сервисы поиска специалистов. Вместе с тем отдельные виды деятельности в сферу его действия не входят. Это, в частности, деятельность аудиовизуальных сервисов, магазинов приложений, кредитных и некредитных финансовых организаций, лиц, оказывающих профессиональные услуги на финансовом рынке, инвестплатформ, а также деятельность операторов информресурсов, создаваемых в соответствии с федеральным законодательством (в том числе в области государственных и корпоративных закупок, банкротства и приватизации).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lang w:eastAsia="ru-RU"/>
        </w:rPr>
        <w:t>С 1 октября 2026 г. онлайн-площадка обязана заключать с партнерами и ПВЗ официальный договор.</w:t>
      </w:r>
      <w:r>
        <w:rPr>
          <w:rFonts w:eastAsia="Times New Roman" w:cs="Times New Roman" w:ascii="Times New Roman" w:hAnsi="Times New Roman"/>
          <w:color w:val="7030A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 этом обеспечивается его заключение в электронном виде на самой платформе. В обязанности торговых площадок включена проверка продавца маркетплейсом через ЕГРЮЛ (для ООО, АО), ЕГРИП (для ИП), «Госуслуги». Данная мера введена для борьбы с мошенниками и недобросовестными продавцами. Конкретный порядок проверки и перечень документов установит Правительство РФ.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Закон прямо перечисляет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lang w:eastAsia="ru-RU"/>
        </w:rPr>
        <w:t>обязательные условия договора с маркетплейсом</w:t>
      </w:r>
      <w:r>
        <w:rPr>
          <w:rFonts w:eastAsia="Times New Roman" w:cs="Times New Roman" w:ascii="Times New Roman" w:hAnsi="Times New Roman"/>
          <w:color w:val="7030A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(ч. 4 ст. 5 Закона): 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требования к партнеру, владельцу пункта выдачи заказов;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обмена юридически значимыми сообщениями, в том числе направления уведомления об изменении договора в установленные настоящим законом сроки;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исчерпывающий перечень применяемых к партнеру, владельцу пункта выдачи заказов и оператору мер ответственности, основания и порядок их применения;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обжалования решений и действий (бездействия) оператора в рамках системы досудебного рассмотрения жалоб (разрешения споров) с указанием срока и процедуры рассмотрения жалоб, порядок дальнейшего разрешения споров в случае недостижения согласия между оператором и партнером или владельцем пункта выдачи заказов, порядок направления партнером сведений, необходимых оператору для принятия решения по жалобе;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продажи товаров, выполнения работ, оказания услуг, в том числе порядок и условия приостановления или прекращения принятия заказов партнером-исполнителем, порядок определения продолжительности выполнения работ, оказания услуг с использованием посреднической цифровой платформы;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осуществления взаиморасчетов между оператором и партнером или владельцем пункта выдачи заказов, включая порядок определения срока платежей;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предоставления партнеру, владельцу пункта выдачи заказов доступа к информации о принципах формирования рейтинга, об основаниях изменения рейтинга и о последствиях, наступающих для партнера, владельца пункта выдачи заказов при определенных значениях рейтинга;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доступа к информации о принципах ранжирования результатов поисковой выдачи и об основаниях изменения положения карточки товара в поисковой выдаче;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установления, изменения партнерами цены товара, работы, услуги, включая срок вступления такого изменения в силу;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определения размера вознаграждения оператора за оказание услуг партнеру или владельцу пункта выдачи заказов;</w:t>
      </w:r>
    </w:p>
    <w:p>
      <w:pPr>
        <w:pStyle w:val="NoSpacing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установления скидок на предлагаемые товары, работы и услуги.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Продавец вправе посмотреть актуальную и предыдущие версии договора за последние 3 года. Если продавец или владелец ПВЗ понес убытки по вине торговой площадки, то он вправе потребовать компенсацию расходов. Таким образом, по новым правилам заключение договора с маркетплейсом строится на прозрачности, а продавец получает инструменты для защиты прав.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Законом предусмотрено включение ПЦП в реестр таких платформ, который будет вестись уполномоченным Правительством РФ федеральным органом исполнительной власти.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b/>
          <w:color w:val="7030A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Также Правительство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 xml:space="preserve">вправе устанавливать дополнительные условия: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порядок ведения реестра (как подать заявку, какие документы предоставить);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состав сведений в реестре (что публично отображается);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ind w:left="0" w:firstLine="85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условия и порядок исключения из реестра (за какие нарушения платформу вправе удалить).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Кроме того, Закон вводит отличное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требование к цифровым платформам:</w:t>
      </w:r>
      <w:r>
        <w:rPr>
          <w:rFonts w:eastAsia="Times New Roman" w:cs="Times New Roman" w:ascii="Times New Roman" w:hAnsi="Times New Roman"/>
          <w:color w:val="7030A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разместить адрес электронной почты</w:t>
      </w:r>
      <w:r>
        <w:rPr>
          <w:rFonts w:eastAsia="Times New Roman" w:cs="Times New Roman" w:ascii="Times New Roman" w:hAnsi="Times New Roman"/>
          <w:color w:val="7030A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для направления владельцу платформы юридически значимых сообщений. Те, кто давно работают в онлайн-торговле знают, что на некоторых площадках взаимодействие усложнено перепиской через личный кабинет. С новыми изменениями </w:t>
      </w:r>
      <w:r>
        <w:rPr>
          <w:rFonts w:eastAsia="Times New Roman" w:cs="Times New Roman" w:ascii="Times New Roman" w:hAnsi="Times New Roman"/>
          <w:b/>
          <w:color w:val="7030A0"/>
          <w:sz w:val="28"/>
          <w:szCs w:val="28"/>
          <w:shd w:fill="FFFFFF" w:val="clear"/>
          <w:lang w:eastAsia="ru-RU"/>
        </w:rPr>
        <w:t>каждый маркетплейс на видном месте сайта обязан указать специальный адрес электронной почты.</w:t>
      </w:r>
      <w:r>
        <w:rPr>
          <w:rFonts w:eastAsia="Times New Roman" w:cs="Times New Roman" w:ascii="Times New Roman" w:hAnsi="Times New Roman"/>
          <w:color w:val="7030A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Это не связано с общей поддержкой пользователей, а предназначено для официальных обращений (претензий, уведомлений, требований и аналогичных документов). Также размещаются сведения о владельце платформы (ФИО, наименование, форма собственности и пр.).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Законом урегулирован широкий круг вопросов, касающихся отношений между оператором ПЦП, его партнерами и пунктами выдачи заказов (ПВЗ). Так, предусмотрена обязанность оператора проводить проверку информации, включаемой партнером в карточку товара, на предмет соблюдения обязательных требований и ограничений, связанных с оборотом соответствующих товаров. Порядок такой проверки будет утвержден Правительством РФ.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Регламентированы и некоторые другие вопросы, в частности, правила предоставления ПЦП скидок за счет партнера, применения к партнерам и ПВЗ мер ответственности, порядок разрешения споров и др. Так, в виде общего правила закреплена </w:t>
      </w:r>
      <w:r>
        <w:rPr>
          <w:rFonts w:cs="Times New Roman" w:ascii="Times New Roman" w:hAnsi="Times New Roman"/>
          <w:b/>
          <w:color w:val="7030A0"/>
          <w:sz w:val="28"/>
          <w:szCs w:val="28"/>
        </w:rPr>
        <w:t>обязательная досудебная процедура разрешения споров, возникающих между партнерами ПЦП, пунктами выдачи заказов и самой платформой.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принятием Закона о маркетплейсах внесены изменения также и в ряд других законодательных актов. В частности, Закон о защите прав потребителей дополнен нормами о последствиях приобретения на ПЦП товаров (работ, услуг) ненадлежащего качества. Соответствующие поправки вступят в силу одновременно с самим Законом о маркетплейсах - 1 октября 2026 года.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Набережночелнинский</w:t>
      </w:r>
      <w:r>
        <w:rPr>
          <w:rFonts w:ascii="Times New Roman" w:hAnsi="Times New Roman"/>
          <w:b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 xml:space="preserve">филиал      </w:t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Федерального</w:t>
      </w:r>
      <w:r>
        <w:rPr>
          <w:rFonts w:ascii="Times New Roman" w:hAnsi="Times New Roman"/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бюджетного</w:t>
      </w:r>
      <w:r>
        <w:rPr>
          <w:rFonts w:ascii="Times New Roman" w:hAnsi="Times New Roman"/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учреждения</w:t>
      </w:r>
      <w:r>
        <w:rPr>
          <w:rFonts w:ascii="Times New Roman" w:hAnsi="Times New Roman"/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 xml:space="preserve">здравоохранения      </w:t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«Центр</w:t>
      </w:r>
      <w:r>
        <w:rPr>
          <w:rFonts w:ascii="Times New Roman" w:hAnsi="Times New Roman"/>
          <w:b/>
          <w:i/>
          <w:iCs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гигиены</w:t>
      </w:r>
      <w:r>
        <w:rPr>
          <w:rFonts w:ascii="Times New Roman" w:hAnsi="Times New Roman"/>
          <w:b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и</w:t>
      </w:r>
      <w:r>
        <w:rPr>
          <w:rFonts w:ascii="Times New Roman" w:hAnsi="Times New Roman"/>
          <w:b/>
          <w:i/>
          <w:iCs/>
          <w:color w:val="000000"/>
          <w:spacing w:val="-2"/>
          <w:sz w:val="22"/>
          <w:szCs w:val="22"/>
        </w:rPr>
        <w:t xml:space="preserve"> эпидемиологии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в</w:t>
      </w:r>
      <w:r>
        <w:rPr>
          <w:rFonts w:ascii="Times New Roman" w:hAnsi="Times New Roman"/>
          <w:b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Республике</w:t>
      </w:r>
      <w:r>
        <w:rPr>
          <w:rFonts w:ascii="Times New Roman" w:hAnsi="Times New Roman"/>
          <w:b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Татарстан</w:t>
      </w:r>
      <w:r>
        <w:rPr>
          <w:rFonts w:ascii="Times New Roman" w:hAnsi="Times New Roman"/>
          <w:b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2"/>
          <w:sz w:val="22"/>
          <w:szCs w:val="22"/>
        </w:rPr>
        <w:t xml:space="preserve">(Татарстан)»      </w:t>
      </w:r>
    </w:p>
    <w:p>
      <w:pPr>
        <w:pStyle w:val="Style15"/>
        <w:bidi w:val="0"/>
        <w:spacing w:before="0" w:after="0"/>
        <w:ind w:left="0" w:right="0" w:hanging="0"/>
        <w:contextualSpacing/>
        <w:jc w:val="right"/>
        <w:rPr>
          <w:rFonts w:ascii="Times New Roman" w:hAnsi="Times New Roman"/>
          <w:b/>
          <w:bCs/>
          <w:i/>
          <w:i/>
          <w:iCs/>
          <w:color w:val="000000"/>
          <w:spacing w:val="-2"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pacing w:val="-2"/>
          <w:sz w:val="22"/>
          <w:szCs w:val="22"/>
        </w:rPr>
        <w:t xml:space="preserve">8 (8552) 46-41-52 г.Набережные Челны, ул. Низаметдинова, 14.      </w:t>
      </w:r>
    </w:p>
    <w:sectPr>
      <w:type w:val="nextPage"/>
      <w:pgSz w:w="11906" w:h="16838"/>
      <w:pgMar w:left="1134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color w:val="7030A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color w:val="7030A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color w:val="7030A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28154c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cb534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e2873"/>
    <w:pPr>
      <w:spacing w:before="0" w:after="160"/>
      <w:ind w:left="720" w:hanging="0"/>
      <w:contextualSpacing/>
    </w:pPr>
    <w:rPr/>
  </w:style>
  <w:style w:type="paragraph" w:styleId="S1" w:customStyle="1">
    <w:name w:val="s_1"/>
    <w:basedOn w:val="Normal"/>
    <w:qFormat/>
    <w:rsid w:val="002815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Application>LibreOffice/7.5.6.2$Linux_X86_64 LibreOffice_project/50$Build-2</Application>
  <AppVersion>15.0000</AppVersion>
  <Pages>4</Pages>
  <Words>1053</Words>
  <Characters>7398</Characters>
  <CharactersWithSpaces>8434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2026-03-17T08:54:00Z</dcterms:created>
  <dc:creator>Ельчанинова Ирина Валентиновна</dc:creator>
  <dc:description/>
  <dc:language>ru-RU</dc:language>
  <cp:lastModifiedBy/>
  <dcterms:modified xsi:type="dcterms:W3CDTF">2026-06-10T08:30:44Z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