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footer4.xml.rels" ContentType="application/vnd.openxmlformats-package.relationships+xml"/>
  <Override PartName="/word/_rels/footer8.xml.rels" ContentType="application/vnd.openxmlformats-package.relationships+xml"/>
  <Override PartName="/word/_rels/document.xml.rels" ContentType="application/vnd.openxmlformats-package.relationships+xml"/>
  <Override PartName="/word/_rels/footer1.xml.rels" ContentType="application/vnd.openxmlformats-package.relationships+xml"/>
  <Override PartName="/word/_rels/footer2.xml.rels" ContentType="application/vnd.openxmlformats-package.relationships+xml"/>
  <Override PartName="/word/_rels/numbering.xml.rels" ContentType="application/vnd.openxmlformats-package.relationships+xml"/>
  <Override PartName="/word/_rels/footer6.xml.rels" ContentType="application/vnd.openxmlformats-package.relationships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numbering.xml" ContentType="application/vnd.openxmlformats-officedocument.wordprocessingml.numbering+xml"/>
  <Override PartName="/word/footer6.xml" ContentType="application/vnd.openxmlformats-officedocument.wordprocessingml.footer+xml"/>
  <Override PartName="/word/footer9.xml" ContentType="application/vnd.openxmlformats-officedocument.wordprocessingml.footer+xml"/>
  <Override PartName="/word/theme/theme1.xml" ContentType="application/vnd.openxmlformats-officedocument.theme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footer4.xml" ContentType="application/vnd.openxmlformats-officedocument.wordprocessingml.foot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document.xml" ContentType="application/vnd.openxmlformats-officedocument.wordprocessingml.document.main+xml"/>
  <Override PartName="/word/media/image2.png" ContentType="image/png"/>
  <Override PartName="/word/media/image1.jpeg" ContentType="image/jpeg"/>
  <Override PartName="/word/media/image3.jpeg" ContentType="image/jpeg"/>
  <Override PartName="/word/media/image4.jpeg" ContentType="image/jpeg"/>
  <Override PartName="/word/media/image6.png" ContentType="image/png"/>
  <Override PartName="/word/media/image5.jpeg" ContentType="image/jpe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Style14"/>
        <w:spacing w:before="57" w:after="57"/>
        <w:ind w:left="0" w:right="0" w:hanging="0"/>
        <w:contextualSpacing/>
        <w:jc w:val="center"/>
        <w:rPr>
          <w:b/>
          <w:bCs/>
          <w:color w:val="C9211E"/>
          <w:sz w:val="30"/>
          <w:szCs w:val="30"/>
          <w:u w:val="single"/>
        </w:rPr>
      </w:pPr>
      <w:r>
        <w:rPr>
          <w:b/>
          <w:bCs/>
          <w:color w:val="C9211E"/>
          <w:sz w:val="30"/>
          <w:szCs w:val="30"/>
          <w:u w:val="single"/>
        </w:rPr>
        <w:t>Для получения консультации</w:t>
      </w:r>
    </w:p>
    <w:p>
      <w:pPr>
        <w:pStyle w:val="Style14"/>
        <w:spacing w:before="57" w:after="57"/>
        <w:ind w:left="0" w:right="0" w:hanging="0"/>
        <w:contextualSpacing/>
        <w:jc w:val="center"/>
        <w:rPr>
          <w:sz w:val="30"/>
          <w:szCs w:val="30"/>
        </w:rPr>
      </w:pPr>
      <w:r>
        <w:rPr>
          <w:b/>
          <w:bCs/>
          <w:i w:val="false"/>
          <w:iCs w:val="false"/>
          <w:color w:val="C9211E"/>
          <w:sz w:val="30"/>
          <w:szCs w:val="30"/>
          <w:u w:val="single"/>
        </w:rPr>
        <w:t>в вопросах защиты прав потребителей</w:t>
      </w:r>
      <w:r>
        <w:rPr>
          <w:b/>
          <w:bCs/>
          <w:i w:val="false"/>
          <w:iCs w:val="false"/>
          <w:color w:val="C9211E"/>
          <w:sz w:val="30"/>
          <w:szCs w:val="30"/>
          <w:u w:val="none"/>
        </w:rPr>
        <w:t>,</w:t>
      </w:r>
    </w:p>
    <w:p>
      <w:pPr>
        <w:pStyle w:val="Style14"/>
        <w:spacing w:before="57" w:after="57"/>
        <w:ind w:left="0" w:right="0" w:hanging="0"/>
        <w:contextualSpacing/>
        <w:jc w:val="center"/>
        <w:rPr>
          <w:sz w:val="30"/>
          <w:szCs w:val="30"/>
        </w:rPr>
      </w:pPr>
      <w:r>
        <w:rPr>
          <w:b/>
          <w:bCs/>
          <w:color w:val="C9211E"/>
          <w:sz w:val="30"/>
          <w:szCs w:val="30"/>
          <w:u w:val="single"/>
        </w:rPr>
        <w:t xml:space="preserve">соблюдения требований законодательства </w:t>
      </w:r>
      <w:r>
        <w:rPr>
          <w:b/>
          <w:bCs/>
          <w:color w:val="C9211E"/>
          <w:sz w:val="30"/>
          <w:szCs w:val="30"/>
          <w:u w:val="single"/>
        </w:rPr>
        <w:t>по</w:t>
      </w:r>
      <w:r>
        <w:rPr>
          <w:b/>
          <w:bCs/>
          <w:color w:val="C9211E"/>
          <w:sz w:val="30"/>
          <w:szCs w:val="30"/>
          <w:u w:val="single"/>
        </w:rPr>
        <w:t xml:space="preserve"> защите прав потребителе</w:t>
      </w:r>
      <w:r>
        <w:rPr>
          <w:b/>
          <w:bCs/>
          <w:i w:val="false"/>
          <w:iCs w:val="false"/>
          <w:color w:val="C9211E"/>
          <w:sz w:val="30"/>
          <w:szCs w:val="30"/>
          <w:u w:val="single"/>
        </w:rPr>
        <w:t>й,</w:t>
      </w:r>
    </w:p>
    <w:p>
      <w:pPr>
        <w:pStyle w:val="Style14"/>
        <w:spacing w:before="57" w:after="57"/>
        <w:ind w:left="0" w:right="0" w:hanging="0"/>
        <w:contextualSpacing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>граждане могут обратиться в</w:t>
      </w:r>
      <w:r>
        <w:rPr>
          <w:b/>
          <w:bCs/>
          <w:spacing w:val="40"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>консультационный пункт Набережночелнинского филиала ФБУЗ «Центр гигиены и эпидемиологии в Республике Татарстан (Татарстан)» по телефону: 8 (8552) 46-41-52 или по адресу: г.Набережные Челны, ул. Низаметдинова, 14.</w:t>
      </w:r>
    </w:p>
    <w:p>
      <w:pPr>
        <w:pStyle w:val="Style14"/>
        <w:spacing w:before="57" w:after="57"/>
        <w:ind w:left="0" w:right="0" w:hanging="0"/>
        <w:contextualSpacing/>
        <w:rPr/>
      </w:pPr>
      <w:r>
        <w:rPr/>
      </w:r>
    </w:p>
    <w:p>
      <w:pPr>
        <w:pStyle w:val="Style14"/>
        <w:spacing w:before="57" w:after="57"/>
        <w:ind w:left="0" w:right="0" w:hanging="0"/>
        <w:contextualSpacing/>
        <w:rPr/>
      </w:pPr>
      <w:r>
        <w:rPr/>
      </w:r>
    </w:p>
    <w:p>
      <w:pPr>
        <w:pStyle w:val="Style14"/>
        <w:spacing w:before="57" w:after="57"/>
        <w:ind w:left="0" w:right="0" w:hanging="0"/>
        <w:contextualSpacing/>
        <w:rPr/>
      </w:pPr>
      <w:r>
        <w:rPr/>
      </w:r>
    </w:p>
    <w:p>
      <w:pPr>
        <w:pStyle w:val="TableParagraph"/>
        <w:widowControl w:val="false"/>
        <w:spacing w:lineRule="auto" w:line="240" w:before="0" w:after="0"/>
        <w:ind w:left="52" w:right="57" w:firstLine="931"/>
        <w:jc w:val="right"/>
        <w:rPr>
          <w:b/>
          <w:sz w:val="16"/>
        </w:rPr>
      </w:pPr>
      <w:r>
        <w:rPr>
          <w:b/>
          <w:sz w:val="22"/>
          <w:szCs w:val="22"/>
        </w:rPr>
        <w:t>Набережночелнинский</w:t>
      </w:r>
      <w:r>
        <w:rPr>
          <w:b/>
          <w:spacing w:val="-3"/>
          <w:sz w:val="22"/>
          <w:szCs w:val="22"/>
        </w:rPr>
        <w:t xml:space="preserve"> </w:t>
      </w:r>
      <w:r>
        <w:rPr>
          <w:b/>
          <w:sz w:val="22"/>
          <w:szCs w:val="22"/>
        </w:rPr>
        <w:t>филиал</w:t>
      </w:r>
    </w:p>
    <w:p>
      <w:pPr>
        <w:pStyle w:val="TableParagraph"/>
        <w:widowControl w:val="false"/>
        <w:spacing w:lineRule="auto" w:line="240" w:before="0" w:after="0"/>
        <w:ind w:left="52" w:right="57" w:firstLine="931"/>
        <w:jc w:val="right"/>
        <w:rPr>
          <w:b/>
          <w:sz w:val="16"/>
        </w:rPr>
      </w:pPr>
      <w:r>
        <w:rPr>
          <w:b/>
          <w:sz w:val="22"/>
          <w:szCs w:val="22"/>
        </w:rPr>
        <w:t>Федерального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бюджетного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учреждения</w:t>
      </w:r>
      <w:r>
        <w:rPr>
          <w:b/>
          <w:spacing w:val="-10"/>
          <w:sz w:val="22"/>
          <w:szCs w:val="22"/>
        </w:rPr>
        <w:t xml:space="preserve"> </w:t>
      </w:r>
      <w:r>
        <w:rPr>
          <w:b/>
          <w:sz w:val="22"/>
          <w:szCs w:val="22"/>
        </w:rPr>
        <w:t>здравоохранения</w:t>
      </w:r>
    </w:p>
    <w:p>
      <w:pPr>
        <w:pStyle w:val="TableParagraph"/>
        <w:widowControl w:val="false"/>
        <w:spacing w:lineRule="auto" w:line="240" w:before="0" w:after="0"/>
        <w:ind w:left="52" w:right="57" w:firstLine="931"/>
        <w:jc w:val="right"/>
        <w:rPr>
          <w:b/>
          <w:sz w:val="16"/>
        </w:rPr>
      </w:pPr>
      <w:r>
        <w:rPr>
          <w:b/>
          <w:sz w:val="22"/>
          <w:szCs w:val="22"/>
        </w:rPr>
        <w:t>«Центр</w:t>
      </w:r>
      <w:r>
        <w:rPr>
          <w:b/>
          <w:spacing w:val="-4"/>
          <w:sz w:val="22"/>
          <w:szCs w:val="22"/>
        </w:rPr>
        <w:t xml:space="preserve"> </w:t>
      </w:r>
      <w:r>
        <w:rPr>
          <w:b/>
          <w:sz w:val="22"/>
          <w:szCs w:val="22"/>
        </w:rPr>
        <w:t>гигиены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и</w:t>
      </w:r>
      <w:r>
        <w:rPr>
          <w:b/>
          <w:spacing w:val="-2"/>
          <w:sz w:val="22"/>
          <w:szCs w:val="22"/>
        </w:rPr>
        <w:t xml:space="preserve"> эпидемиологии</w:t>
      </w:r>
    </w:p>
    <w:p>
      <w:pPr>
        <w:pStyle w:val="TableParagraph"/>
        <w:widowControl w:val="false"/>
        <w:spacing w:lineRule="auto" w:line="240" w:before="0" w:after="0"/>
        <w:ind w:left="57" w:right="57" w:firstLine="510"/>
        <w:jc w:val="right"/>
        <w:rPr>
          <w:b/>
          <w:sz w:val="16"/>
        </w:rPr>
      </w:pPr>
      <w:r>
        <w:rPr>
          <w:b/>
          <w:sz w:val="22"/>
          <w:szCs w:val="22"/>
        </w:rPr>
        <w:t>в</w:t>
      </w:r>
      <w:r>
        <w:rPr>
          <w:b/>
          <w:spacing w:val="-7"/>
          <w:sz w:val="22"/>
          <w:szCs w:val="22"/>
        </w:rPr>
        <w:t xml:space="preserve"> </w:t>
      </w:r>
      <w:r>
        <w:rPr>
          <w:b/>
          <w:sz w:val="22"/>
          <w:szCs w:val="22"/>
        </w:rPr>
        <w:t>Республике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z w:val="22"/>
          <w:szCs w:val="22"/>
        </w:rPr>
        <w:t>Татарстан</w:t>
      </w:r>
      <w:r>
        <w:rPr>
          <w:b/>
          <w:spacing w:val="-5"/>
          <w:sz w:val="22"/>
          <w:szCs w:val="22"/>
        </w:rPr>
        <w:t xml:space="preserve"> </w:t>
      </w:r>
      <w:r>
        <w:rPr>
          <w:b/>
          <w:spacing w:val="-2"/>
          <w:sz w:val="22"/>
          <w:szCs w:val="22"/>
        </w:rPr>
        <w:t>(Татарстан)»</w:t>
      </w:r>
    </w:p>
    <w:p>
      <w:pPr>
        <w:pStyle w:val="Normal"/>
        <w:spacing w:lineRule="exact" w:line="459" w:before="69" w:after="0"/>
        <w:ind w:left="0" w:right="284" w:hanging="0"/>
        <w:jc w:val="center"/>
        <w:rPr>
          <w:b/>
          <w:sz w:val="40"/>
        </w:rPr>
      </w:pPr>
      <w:r>
        <w:rPr/>
      </w:r>
    </w:p>
    <w:p>
      <w:pPr>
        <w:pStyle w:val="Normal"/>
        <w:spacing w:lineRule="exact" w:line="459" w:before="69" w:after="0"/>
        <w:ind w:left="0" w:right="284" w:hanging="0"/>
        <w:jc w:val="center"/>
        <w:rPr>
          <w:b/>
          <w:sz w:val="40"/>
        </w:rPr>
      </w:pPr>
      <w:r>
        <w:rPr/>
      </w:r>
    </w:p>
    <w:p>
      <w:pPr>
        <w:pStyle w:val="Normal"/>
        <w:spacing w:lineRule="exact" w:line="459" w:before="69" w:after="0"/>
        <w:ind w:left="0" w:right="284" w:hanging="0"/>
        <w:jc w:val="center"/>
        <w:rPr>
          <w:b/>
          <w:sz w:val="40"/>
        </w:rPr>
      </w:pPr>
      <w:r>
        <w:rPr/>
      </w:r>
    </w:p>
    <w:p>
      <w:pPr>
        <w:pStyle w:val="Normal"/>
        <w:spacing w:lineRule="exact" w:line="459" w:before="69" w:after="0"/>
        <w:ind w:left="0" w:right="284" w:hanging="0"/>
        <w:jc w:val="center"/>
        <w:rPr>
          <w:b/>
          <w:sz w:val="40"/>
        </w:rPr>
      </w:pPr>
      <w:r>
        <w:rPr>
          <w:b/>
          <w:color w:val="C00000"/>
          <w:sz w:val="40"/>
        </w:rPr>
        <w:t xml:space="preserve">   </w:t>
      </w:r>
      <w:r>
        <w:rPr>
          <w:b/>
          <w:color w:val="C00000"/>
          <w:sz w:val="40"/>
        </w:rPr>
        <w:t>ПОРЯДОК</w:t>
      </w:r>
      <w:r>
        <w:rPr>
          <w:b/>
          <w:color w:val="C00000"/>
          <w:spacing w:val="-5"/>
          <w:sz w:val="40"/>
        </w:rPr>
        <w:t xml:space="preserve"> </w:t>
      </w:r>
      <w:r>
        <w:rPr>
          <w:b/>
          <w:color w:val="C00000"/>
          <w:sz w:val="40"/>
        </w:rPr>
        <w:t>ОБРАЩЕНИЯ</w:t>
      </w:r>
      <w:r>
        <w:rPr>
          <w:b/>
          <w:color w:val="C00000"/>
          <w:spacing w:val="-4"/>
          <w:sz w:val="40"/>
        </w:rPr>
        <w:t xml:space="preserve"> </w:t>
      </w:r>
      <w:r>
        <w:rPr>
          <w:b/>
          <w:color w:val="C00000"/>
          <w:sz w:val="40"/>
        </w:rPr>
        <w:t>С</w:t>
      </w:r>
      <w:r>
        <w:rPr>
          <w:b/>
          <w:color w:val="C00000"/>
          <w:spacing w:val="-2"/>
          <w:sz w:val="40"/>
        </w:rPr>
        <w:t xml:space="preserve"> ТВЕРДЫМИ</w:t>
      </w:r>
    </w:p>
    <w:p>
      <w:pPr>
        <w:pStyle w:val="Normal"/>
        <w:spacing w:lineRule="exact" w:line="459" w:before="0" w:after="0"/>
        <w:ind w:left="424" w:right="284" w:hanging="0"/>
        <w:jc w:val="center"/>
        <w:rPr>
          <w:b/>
          <w:sz w:val="40"/>
        </w:rPr>
      </w:pPr>
      <w:r>
        <w:rPr>
          <w:b/>
          <w:color w:val="C00000"/>
          <w:sz w:val="40"/>
        </w:rPr>
        <w:t>КОММУНАЛЬНЫМИ</w:t>
      </w:r>
      <w:r>
        <w:rPr>
          <w:b/>
          <w:color w:val="C00000"/>
          <w:spacing w:val="-9"/>
          <w:sz w:val="40"/>
        </w:rPr>
        <w:t xml:space="preserve"> </w:t>
      </w:r>
      <w:r>
        <w:rPr>
          <w:b/>
          <w:color w:val="C00000"/>
          <w:sz w:val="40"/>
        </w:rPr>
        <w:t>ОТХОДАМИ</w:t>
      </w:r>
      <w:r>
        <w:rPr>
          <w:b/>
          <w:color w:val="C00000"/>
          <w:spacing w:val="-7"/>
          <w:sz w:val="40"/>
        </w:rPr>
        <w:t xml:space="preserve"> </w:t>
      </w:r>
      <w:r>
        <w:rPr>
          <w:b/>
          <w:color w:val="C00000"/>
          <w:sz w:val="40"/>
        </w:rPr>
        <w:t>С</w:t>
      </w:r>
      <w:r>
        <w:rPr>
          <w:b/>
          <w:color w:val="C00000"/>
          <w:spacing w:val="-6"/>
          <w:sz w:val="40"/>
        </w:rPr>
        <w:t xml:space="preserve"> </w:t>
      </w:r>
      <w:r>
        <w:rPr>
          <w:b/>
          <w:color w:val="C00000"/>
          <w:spacing w:val="-2"/>
          <w:sz w:val="40"/>
        </w:rPr>
        <w:t>01.09.2025г.</w:t>
      </w:r>
    </w:p>
    <w:p>
      <w:pPr>
        <w:pStyle w:val="Style14"/>
        <w:tabs>
          <w:tab w:val="clear" w:pos="720"/>
          <w:tab w:val="left" w:pos="8351" w:leader="none"/>
        </w:tabs>
        <w:spacing w:before="317" w:after="0"/>
        <w:ind w:left="4956" w:right="135" w:firstLine="852"/>
        <w:rPr/>
      </w:pPr>
      <w:r>
        <w:drawing>
          <wp:anchor behindDoc="0" distT="0" distB="0" distL="0" distR="0" simplePos="0" locked="0" layoutInCell="0" allowOverlap="1" relativeHeight="15">
            <wp:simplePos x="0" y="0"/>
            <wp:positionH relativeFrom="page">
              <wp:posOffset>723900</wp:posOffset>
            </wp:positionH>
            <wp:positionV relativeFrom="paragraph">
              <wp:posOffset>208915</wp:posOffset>
            </wp:positionV>
            <wp:extent cx="2848610" cy="1736090"/>
            <wp:effectExtent l="0" t="0" r="0" b="0"/>
            <wp:wrapNone/>
            <wp:docPr id="1" name="Image 1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5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8610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С 01.09.2025 г. вступили в силу</w:t>
      </w:r>
      <w:r>
        <w:rPr>
          <w:spacing w:val="40"/>
        </w:rPr>
        <w:t xml:space="preserve"> </w:t>
      </w:r>
      <w:r>
        <w:rPr/>
        <w:t xml:space="preserve">новые Правила о порядке обращения с твердыми коммунальными отходами, </w:t>
      </w:r>
      <w:r>
        <w:rPr>
          <w:spacing w:val="-2"/>
        </w:rPr>
        <w:t>утвержденные</w:t>
      </w:r>
      <w:r>
        <w:rPr/>
        <w:tab/>
      </w:r>
      <w:r>
        <w:rPr>
          <w:spacing w:val="-2"/>
        </w:rPr>
        <w:t xml:space="preserve">Постановлением </w:t>
      </w:r>
      <w:r>
        <w:rPr/>
        <w:t>Правительства Российской Федерации от 7 марта 2025</w:t>
      </w:r>
      <w:r>
        <w:rPr>
          <w:spacing w:val="-1"/>
        </w:rPr>
        <w:t xml:space="preserve"> </w:t>
      </w:r>
      <w:r>
        <w:rPr/>
        <w:t>г. №</w:t>
      </w:r>
      <w:r>
        <w:rPr>
          <w:spacing w:val="-4"/>
        </w:rPr>
        <w:t xml:space="preserve"> </w:t>
      </w:r>
      <w:r>
        <w:rPr/>
        <w:t>293 (далее – Правила). Данные изменения касаются каждого жителя: владельца квартиры, частного дома и</w:t>
      </w:r>
      <w:r>
        <w:rPr>
          <w:spacing w:val="61"/>
        </w:rPr>
        <w:t xml:space="preserve"> </w:t>
      </w:r>
      <w:r>
        <w:rPr/>
        <w:t>дачного</w:t>
      </w:r>
      <w:r>
        <w:rPr>
          <w:spacing w:val="62"/>
        </w:rPr>
        <w:t xml:space="preserve"> </w:t>
      </w:r>
      <w:r>
        <w:rPr/>
        <w:t>участка</w:t>
      </w:r>
      <w:r>
        <w:rPr>
          <w:spacing w:val="60"/>
        </w:rPr>
        <w:t xml:space="preserve"> </w:t>
      </w:r>
      <w:r>
        <w:rPr/>
        <w:t>и</w:t>
      </w:r>
      <w:r>
        <w:rPr>
          <w:spacing w:val="62"/>
        </w:rPr>
        <w:t xml:space="preserve"> </w:t>
      </w:r>
      <w:r>
        <w:rPr/>
        <w:t>будут</w:t>
      </w:r>
      <w:r>
        <w:rPr>
          <w:spacing w:val="61"/>
        </w:rPr>
        <w:t xml:space="preserve"> </w:t>
      </w:r>
      <w:r>
        <w:rPr/>
        <w:t>действовать</w:t>
      </w:r>
      <w:r>
        <w:rPr>
          <w:spacing w:val="61"/>
        </w:rPr>
        <w:t xml:space="preserve"> </w:t>
      </w:r>
      <w:r>
        <w:rPr>
          <w:spacing w:val="-5"/>
        </w:rPr>
        <w:t>до</w:t>
      </w:r>
    </w:p>
    <w:p>
      <w:pPr>
        <w:pStyle w:val="Style14"/>
        <w:spacing w:before="1" w:after="0"/>
        <w:ind w:left="282" w:right="137" w:hanging="0"/>
        <w:rPr/>
      </w:pPr>
      <w:r>
        <w:rPr/>
        <w:t>01.09.2031 г. В данное статье мы предлагаем Вам разобраться, каким образом теперь будет организован вывоз твердых коммунальных отходов.</w:t>
      </w:r>
    </w:p>
    <w:p>
      <w:pPr>
        <w:pStyle w:val="Normal"/>
        <w:tabs>
          <w:tab w:val="clear" w:pos="720"/>
          <w:tab w:val="left" w:pos="2961" w:leader="none"/>
          <w:tab w:val="left" w:pos="6852" w:leader="none"/>
          <w:tab w:val="left" w:pos="9532" w:leader="none"/>
        </w:tabs>
        <w:spacing w:lineRule="auto" w:line="240" w:before="0" w:after="0"/>
        <w:ind w:left="282" w:right="136" w:firstLine="852"/>
        <w:jc w:val="both"/>
        <w:rPr>
          <w:sz w:val="28"/>
        </w:rPr>
      </w:pPr>
      <w:r>
        <w:rPr>
          <w:b/>
          <w:color w:val="C00000"/>
          <w:sz w:val="28"/>
        </w:rPr>
        <w:t xml:space="preserve">К отношениям, возникающим между собственниками </w:t>
      </w:r>
      <w:r>
        <w:rPr>
          <w:sz w:val="28"/>
        </w:rPr>
        <w:t xml:space="preserve">и (или) пользователями жилых помещений в многоквартирных домах и управляющими организациями, товариществами собственников жилья, жилищными </w:t>
      </w:r>
      <w:r>
        <w:rPr>
          <w:spacing w:val="-2"/>
          <w:sz w:val="28"/>
        </w:rPr>
        <w:t>кооперативами,</w:t>
      </w:r>
      <w:r>
        <w:rPr>
          <w:sz w:val="28"/>
        </w:rPr>
        <w:tab/>
      </w:r>
      <w:r>
        <w:rPr>
          <w:spacing w:val="-2"/>
          <w:sz w:val="28"/>
        </w:rPr>
        <w:t>жилищно-строительными</w:t>
      </w:r>
      <w:r>
        <w:rPr>
          <w:sz w:val="28"/>
        </w:rPr>
        <w:tab/>
      </w:r>
      <w:r>
        <w:rPr>
          <w:spacing w:val="-2"/>
          <w:sz w:val="28"/>
        </w:rPr>
        <w:t>кооперативами,</w:t>
      </w:r>
      <w:r>
        <w:rPr>
          <w:sz w:val="28"/>
        </w:rPr>
        <w:tab/>
      </w:r>
      <w:r>
        <w:rPr>
          <w:spacing w:val="-2"/>
          <w:sz w:val="28"/>
        </w:rPr>
        <w:t xml:space="preserve">иными </w:t>
      </w:r>
      <w:r>
        <w:rPr>
          <w:sz w:val="28"/>
        </w:rPr>
        <w:t xml:space="preserve">специализированными потребительскими кооперативами, между собственниками помещений, пользователями жилых помещений в многоквартирных домах, собственниками жилых домов и </w:t>
      </w:r>
      <w:r>
        <w:rPr>
          <w:b/>
          <w:color w:val="C00000"/>
          <w:sz w:val="28"/>
        </w:rPr>
        <w:t xml:space="preserve">региональными операторами, между собственниками жилых домов и организациями </w:t>
      </w:r>
      <w:r>
        <w:rPr>
          <w:sz w:val="28"/>
        </w:rPr>
        <w:t>(в том числе некоммерческими организациями),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от своего имени и в интересах собственника жилого дома </w:t>
      </w:r>
      <w:r>
        <w:rPr>
          <w:b/>
          <w:color w:val="C00000"/>
          <w:sz w:val="28"/>
        </w:rPr>
        <w:t xml:space="preserve">заключают договоры на оказание услуг по обращению с твердыми коммунальными отходами </w:t>
      </w:r>
      <w:r>
        <w:rPr>
          <w:sz w:val="28"/>
        </w:rPr>
        <w:t>с региональными операторами, связанным с обеспечением предоставления указанным собственникам и пользователям коммунальных услуг по обращению с твердыми коммунальными отходами, положения</w:t>
      </w:r>
      <w:r>
        <w:rPr>
          <w:spacing w:val="80"/>
          <w:sz w:val="28"/>
        </w:rPr>
        <w:t xml:space="preserve">  </w:t>
      </w:r>
      <w:r>
        <w:rPr>
          <w:sz w:val="28"/>
        </w:rPr>
        <w:t>настоящих</w:t>
      </w:r>
      <w:r>
        <w:rPr>
          <w:spacing w:val="80"/>
          <w:sz w:val="28"/>
        </w:rPr>
        <w:t xml:space="preserve">  </w:t>
      </w:r>
      <w:r>
        <w:rPr>
          <w:sz w:val="28"/>
        </w:rPr>
        <w:t>Правил</w:t>
      </w:r>
      <w:r>
        <w:rPr>
          <w:spacing w:val="80"/>
          <w:sz w:val="28"/>
        </w:rPr>
        <w:t xml:space="preserve">  </w:t>
      </w:r>
      <w:r>
        <w:rPr>
          <w:sz w:val="28"/>
        </w:rPr>
        <w:t>применяются</w:t>
      </w:r>
      <w:r>
        <w:rPr>
          <w:spacing w:val="80"/>
          <w:sz w:val="28"/>
        </w:rPr>
        <w:t xml:space="preserve">  </w:t>
      </w:r>
      <w:r>
        <w:rPr>
          <w:sz w:val="28"/>
        </w:rPr>
        <w:t>в</w:t>
      </w:r>
      <w:r>
        <w:rPr>
          <w:spacing w:val="80"/>
          <w:sz w:val="28"/>
        </w:rPr>
        <w:t xml:space="preserve">  </w:t>
      </w:r>
      <w:r>
        <w:rPr>
          <w:sz w:val="28"/>
        </w:rPr>
        <w:t>части,</w:t>
      </w:r>
      <w:r>
        <w:rPr>
          <w:spacing w:val="80"/>
          <w:sz w:val="28"/>
        </w:rPr>
        <w:t xml:space="preserve">  </w:t>
      </w:r>
      <w:r>
        <w:rPr>
          <w:sz w:val="28"/>
        </w:rPr>
        <w:t xml:space="preserve">не урегулированной </w:t>
      </w:r>
      <w:hyperlink r:id="rId3">
        <w:r>
          <w:rPr>
            <w:sz w:val="28"/>
          </w:rPr>
          <w:t>жилищным законодательством</w:t>
        </w:r>
      </w:hyperlink>
      <w:r>
        <w:rPr>
          <w:sz w:val="28"/>
        </w:rPr>
        <w:t xml:space="preserve"> (п. 2 Правил).</w:t>
      </w:r>
    </w:p>
    <w:p>
      <w:pPr>
        <w:pStyle w:val="Style14"/>
        <w:ind w:left="282" w:right="136" w:firstLine="852"/>
        <w:rPr/>
      </w:pPr>
      <w:r>
        <w:rPr/>
        <w:t xml:space="preserve">В соответствии с п. 5 Правил </w:t>
      </w:r>
      <w:r>
        <w:rPr>
          <w:b/>
          <w:color w:val="C00000"/>
        </w:rPr>
        <w:t>обращение с ТКО</w:t>
      </w:r>
      <w:r>
        <w:rPr/>
        <w:t xml:space="preserve">, в том числе с раздельно накопленными ТКО, на территории субъекта Российской Федерации </w:t>
      </w:r>
      <w:r>
        <w:rPr>
          <w:b/>
          <w:color w:val="C00000"/>
        </w:rPr>
        <w:t xml:space="preserve">обеспечивается региональными операторами </w:t>
      </w:r>
      <w:r>
        <w:rPr/>
        <w:t>в соответствии с порядком накопления (в том числе раздельного накопления) ТКО, утвержденным исполнительным органом субъекта Российской Федерации, региональной программой в области обращения с отходами, в том числе с твердыми коммунальными отходами, и территориальной схемой обращения с отходами, а также с учетом требований к обращению с группами однородных отходов I - V классов опасности, установленных Министерством природных ресурсов и</w:t>
      </w:r>
      <w:r>
        <w:rPr>
          <w:spacing w:val="40"/>
        </w:rPr>
        <w:t xml:space="preserve"> </w:t>
      </w:r>
      <w:r>
        <w:rPr/>
        <w:t>экологии Российской Федерации.</w:t>
      </w:r>
    </w:p>
    <w:p>
      <w:pPr>
        <w:pStyle w:val="Normal"/>
        <w:spacing w:before="2" w:after="0"/>
        <w:ind w:left="282" w:right="139" w:firstLine="852"/>
        <w:jc w:val="both"/>
        <w:rPr>
          <w:sz w:val="28"/>
        </w:rPr>
      </w:pPr>
      <w:r>
        <w:rPr>
          <w:sz w:val="28"/>
        </w:rPr>
        <w:t xml:space="preserve">Согласно п. 7 Правил </w:t>
      </w:r>
      <w:r>
        <w:rPr>
          <w:b/>
          <w:color w:val="C00000"/>
          <w:sz w:val="28"/>
        </w:rPr>
        <w:t xml:space="preserve">региональный оператор несет ответственность за обращение с ТКО с момента их погрузки в мусоровоз </w:t>
      </w:r>
      <w:r>
        <w:rPr>
          <w:sz w:val="28"/>
        </w:rPr>
        <w:t xml:space="preserve">или иное транспортное средство. </w:t>
      </w:r>
      <w:r>
        <w:rPr>
          <w:b/>
          <w:color w:val="C00000"/>
          <w:sz w:val="28"/>
        </w:rPr>
        <w:t>За состав ТКО, находящихся в контейнерах и (или) бункерах или иных накопителях</w:t>
      </w:r>
      <w:r>
        <w:rPr>
          <w:sz w:val="28"/>
        </w:rPr>
        <w:t xml:space="preserve">, в случае нарушения потребителями требований к накоплению ТКО </w:t>
      </w:r>
      <w:r>
        <w:rPr>
          <w:b/>
          <w:color w:val="C00000"/>
          <w:sz w:val="28"/>
        </w:rPr>
        <w:t>региональный оператор ответственность не несет</w:t>
      </w:r>
      <w:r>
        <w:rPr>
          <w:sz w:val="28"/>
        </w:rPr>
        <w:t>.</w:t>
      </w:r>
    </w:p>
    <w:p>
      <w:pPr>
        <w:pStyle w:val="Normal"/>
        <w:spacing w:lineRule="auto" w:line="235" w:before="5" w:after="0"/>
        <w:ind w:left="282" w:right="138" w:firstLine="852"/>
        <w:jc w:val="both"/>
        <w:rPr>
          <w:sz w:val="28"/>
        </w:rPr>
      </w:pPr>
      <w:r>
        <w:rPr>
          <w:b/>
          <w:color w:val="C00000"/>
          <w:sz w:val="28"/>
        </w:rPr>
        <w:t>Договор на оказание услуг по обращению с ТКО заключается между потребителем или юридическим лицом</w:t>
      </w:r>
      <w:r>
        <w:rPr>
          <w:sz w:val="28"/>
        </w:rPr>
        <w:t xml:space="preserve">, </w:t>
      </w:r>
      <w:r>
        <w:rPr>
          <w:sz w:val="28"/>
          <w:szCs w:val="28"/>
        </w:rPr>
        <w:t xml:space="preserve">уполномоченным действовать от своего имени и в интересах потребителя (далее - уполномоченная организация), </w:t>
      </w:r>
      <w:r>
        <w:rPr>
          <w:b/>
          <w:color w:val="C00000"/>
          <w:sz w:val="28"/>
          <w:szCs w:val="28"/>
        </w:rPr>
        <w:t>и региональным оператором</w:t>
      </w:r>
      <w:r>
        <w:rPr>
          <w:sz w:val="28"/>
          <w:szCs w:val="28"/>
        </w:rPr>
        <w:t>, в зоне деятельности которого образуются ТКО.</w:t>
      </w:r>
    </w:p>
    <w:p>
      <w:pPr>
        <w:pStyle w:val="Normal"/>
        <w:spacing w:lineRule="auto" w:line="240" w:before="0" w:after="0"/>
        <w:ind w:left="282" w:right="138" w:firstLine="852"/>
        <w:jc w:val="both"/>
        <w:rPr>
          <w:sz w:val="28"/>
        </w:rPr>
      </w:pPr>
      <w:r>
        <w:rPr>
          <w:b/>
          <w:color w:val="C00000"/>
          <w:sz w:val="28"/>
        </w:rPr>
        <w:t xml:space="preserve">Договоры с оператором </w:t>
      </w:r>
      <w:r>
        <w:rPr>
          <w:sz w:val="28"/>
        </w:rPr>
        <w:t>в многоквартирных домах, СНТ и коттеджных поселках</w:t>
      </w:r>
      <w:r>
        <w:rPr>
          <w:spacing w:val="-1"/>
          <w:sz w:val="28"/>
        </w:rPr>
        <w:t xml:space="preserve"> </w:t>
      </w:r>
      <w:r>
        <w:rPr>
          <w:b/>
          <w:color w:val="C00000"/>
          <w:sz w:val="28"/>
        </w:rPr>
        <w:t>подписываются либо с собственниками, либо с управляющими организациями</w:t>
      </w:r>
      <w:r>
        <w:rPr>
          <w:sz w:val="28"/>
        </w:rPr>
        <w:t xml:space="preserve">. В остальных случаях договоры подписываются </w:t>
      </w:r>
      <w:r>
        <w:rPr>
          <w:b/>
          <w:color w:val="C00000"/>
          <w:sz w:val="28"/>
        </w:rPr>
        <w:t xml:space="preserve">только с владельцами. </w:t>
      </w:r>
      <w:r>
        <w:rPr>
          <w:sz w:val="28"/>
        </w:rPr>
        <w:t>Можно подписать и с арендаторами, но только если они предъявят договор аренды (п. 8 Правил).</w:t>
      </w:r>
    </w:p>
    <w:p>
      <w:pPr>
        <w:pStyle w:val="Style14"/>
        <w:ind w:left="282" w:right="137" w:firstLine="852"/>
        <w:rPr/>
      </w:pPr>
      <w:r>
        <w:rPr>
          <w:b/>
          <w:color w:val="C00000"/>
        </w:rPr>
        <w:t>Содержать</w:t>
      </w:r>
      <w:r>
        <w:rPr>
          <w:b/>
          <w:color w:val="C00000"/>
          <w:spacing w:val="-4"/>
        </w:rPr>
        <w:t xml:space="preserve"> </w:t>
      </w:r>
      <w:r>
        <w:rPr>
          <w:b/>
          <w:color w:val="C00000"/>
        </w:rPr>
        <w:t>мусорную</w:t>
      </w:r>
      <w:r>
        <w:rPr>
          <w:b/>
          <w:color w:val="C00000"/>
          <w:spacing w:val="-5"/>
        </w:rPr>
        <w:t xml:space="preserve"> </w:t>
      </w:r>
      <w:r>
        <w:rPr>
          <w:b/>
          <w:color w:val="C00000"/>
        </w:rPr>
        <w:t>площадку</w:t>
      </w:r>
      <w:r>
        <w:rPr>
          <w:b/>
          <w:color w:val="C00000"/>
          <w:spacing w:val="-3"/>
        </w:rPr>
        <w:t xml:space="preserve"> </w:t>
      </w:r>
      <w:r>
        <w:rPr>
          <w:b/>
          <w:color w:val="C00000"/>
        </w:rPr>
        <w:t>должен</w:t>
      </w:r>
      <w:r>
        <w:rPr>
          <w:b/>
          <w:color w:val="C00000"/>
          <w:spacing w:val="-2"/>
        </w:rPr>
        <w:t xml:space="preserve"> </w:t>
      </w:r>
      <w:r>
        <w:rPr/>
        <w:t>не</w:t>
      </w:r>
      <w:r>
        <w:rPr>
          <w:spacing w:val="-4"/>
        </w:rPr>
        <w:t xml:space="preserve"> </w:t>
      </w:r>
      <w:r>
        <w:rPr/>
        <w:t>собственник</w:t>
      </w:r>
      <w:r>
        <w:rPr>
          <w:spacing w:val="-4"/>
        </w:rPr>
        <w:t xml:space="preserve"> </w:t>
      </w:r>
      <w:r>
        <w:rPr/>
        <w:t>земли,</w:t>
      </w:r>
      <w:r>
        <w:rPr>
          <w:spacing w:val="-5"/>
        </w:rPr>
        <w:t xml:space="preserve"> </w:t>
      </w:r>
      <w:r>
        <w:rPr/>
        <w:t>на</w:t>
      </w:r>
      <w:r>
        <w:rPr>
          <w:spacing w:val="-4"/>
        </w:rPr>
        <w:t xml:space="preserve"> </w:t>
      </w:r>
      <w:r>
        <w:rPr/>
        <w:t xml:space="preserve">которой она расположена, например, муниципалитет, а собственник площадки, а значит обязанность отвечать за них возлагается на </w:t>
      </w:r>
      <w:r>
        <w:rPr>
          <w:b/>
          <w:color w:val="C00000"/>
        </w:rPr>
        <w:t>управляющую компанию</w:t>
      </w:r>
      <w:r>
        <w:rPr/>
        <w:t>. В порядок содержания мусорных площадок уже включено оборудование их контейнерами/бункерами, ее ремонт и размещение на ней множества необходимой информации (п. 34 Правил).</w:t>
      </w:r>
    </w:p>
    <w:p>
      <w:pPr>
        <w:pStyle w:val="Normal"/>
        <w:spacing w:lineRule="auto" w:line="235" w:before="8" w:after="0"/>
        <w:ind w:left="282" w:right="136" w:firstLine="852"/>
        <w:jc w:val="both"/>
        <w:rPr>
          <w:sz w:val="28"/>
        </w:rPr>
      </w:pPr>
      <w:r>
        <w:rPr>
          <w:b/>
          <w:color w:val="C00000"/>
          <w:sz w:val="28"/>
        </w:rPr>
        <w:t>Размещение на площадках контейнеров для вторичных ресурсов больше не предполагается по умолчанию</w:t>
      </w:r>
      <w:r>
        <w:rPr>
          <w:sz w:val="28"/>
        </w:rPr>
        <w:t>. Они будут стоять на «местах сбора вторичных ресурсов», а ставить их рядом с контейнерами можно будет только с согласия регионального оператора (п. 35 Правил).</w:t>
      </w:r>
    </w:p>
    <w:p>
      <w:pPr>
        <w:pStyle w:val="Normal"/>
        <w:spacing w:lineRule="auto" w:line="240" w:before="4" w:after="0"/>
        <w:ind w:left="282" w:right="137" w:firstLine="852"/>
        <w:jc w:val="both"/>
        <w:rPr>
          <w:b/>
          <w:sz w:val="28"/>
        </w:rPr>
      </w:pPr>
      <w:r>
        <w:rPr>
          <w:sz w:val="28"/>
        </w:rPr>
        <w:t xml:space="preserve">Положения п. 38 будут применяться с 01.01.2030 г. </w:t>
      </w:r>
      <w:r>
        <w:rPr>
          <w:b/>
          <w:color w:val="C00000"/>
          <w:sz w:val="28"/>
        </w:rPr>
        <w:t>при осуществлении раздельного накопления смешанных (несортированных) отходов и</w:t>
      </w:r>
      <w:r>
        <w:rPr>
          <w:b/>
          <w:color w:val="C00000"/>
          <w:spacing w:val="40"/>
          <w:sz w:val="28"/>
        </w:rPr>
        <w:t xml:space="preserve"> </w:t>
      </w:r>
      <w:r>
        <w:rPr>
          <w:b/>
          <w:color w:val="C00000"/>
          <w:sz w:val="28"/>
        </w:rPr>
        <w:t xml:space="preserve">смешанных вторичных ресурсов в составе ТКО складирование отходов осуществляется </w:t>
      </w:r>
      <w:r>
        <w:rPr>
          <w:sz w:val="28"/>
        </w:rPr>
        <w:t xml:space="preserve">в контейнеры и (или) бункеры или иные накопители </w:t>
      </w:r>
      <w:r>
        <w:rPr>
          <w:b/>
          <w:color w:val="C00000"/>
          <w:sz w:val="28"/>
        </w:rPr>
        <w:t xml:space="preserve">следующих </w:t>
      </w:r>
      <w:r>
        <w:rPr>
          <w:b/>
          <w:color w:val="C00000"/>
          <w:spacing w:val="-2"/>
          <w:sz w:val="28"/>
        </w:rPr>
        <w:t>цветов:</w:t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1723" w:leader="none"/>
        </w:tabs>
        <w:spacing w:lineRule="auto" w:line="240" w:before="1" w:after="0"/>
        <w:ind w:left="1723" w:right="136" w:hanging="361"/>
        <w:jc w:val="both"/>
        <w:rPr>
          <w:sz w:val="28"/>
        </w:rPr>
      </w:pPr>
      <w:r>
        <w:rPr>
          <w:b/>
          <w:color w:val="C00000"/>
          <w:sz w:val="28"/>
        </w:rPr>
        <w:t xml:space="preserve">серый </w:t>
      </w:r>
      <w:r>
        <w:rPr>
          <w:sz w:val="28"/>
        </w:rPr>
        <w:t xml:space="preserve">или иной цвет со средствами маркировки серого цвета - для накопления смешанных (несортированных) твердых коммунальных </w:t>
      </w:r>
      <w:r>
        <w:rPr>
          <w:spacing w:val="-2"/>
          <w:sz w:val="28"/>
        </w:rPr>
        <w:t>отходов;</w:t>
      </w:r>
    </w:p>
    <w:p>
      <w:pPr>
        <w:pStyle w:val="ListParagraph"/>
        <w:numPr>
          <w:ilvl w:val="0"/>
          <w:numId w:val="3"/>
        </w:numPr>
        <w:tabs>
          <w:tab w:val="clear" w:pos="720"/>
          <w:tab w:val="left" w:pos="1723" w:leader="none"/>
        </w:tabs>
        <w:spacing w:lineRule="auto" w:line="240" w:before="1" w:after="0"/>
        <w:ind w:left="1723" w:right="138" w:hanging="361"/>
        <w:jc w:val="both"/>
        <w:rPr>
          <w:sz w:val="28"/>
        </w:rPr>
      </w:pPr>
      <w:r>
        <w:rPr>
          <w:b/>
          <w:color w:val="C00000"/>
          <w:sz w:val="28"/>
        </w:rPr>
        <w:t xml:space="preserve">синий </w:t>
      </w:r>
      <w:r>
        <w:rPr>
          <w:sz w:val="28"/>
        </w:rPr>
        <w:t>или иной цвет со средствами маркировки синего цвета - для накопления нескольких групп однородных отходов.</w:t>
      </w:r>
    </w:p>
    <w:p>
      <w:pPr>
        <w:pStyle w:val="Normal"/>
        <w:tabs>
          <w:tab w:val="clear" w:pos="720"/>
          <w:tab w:val="left" w:pos="2553" w:leader="none"/>
          <w:tab w:val="left" w:pos="3655" w:leader="none"/>
          <w:tab w:val="left" w:pos="4972" w:leader="none"/>
          <w:tab w:val="left" w:pos="6529" w:leader="none"/>
          <w:tab w:val="left" w:pos="8857" w:leader="none"/>
        </w:tabs>
        <w:spacing w:lineRule="auto" w:line="240" w:before="5" w:after="0"/>
        <w:ind w:left="282" w:right="135" w:firstLine="852"/>
        <w:jc w:val="both"/>
        <w:rPr>
          <w:b/>
          <w:sz w:val="28"/>
        </w:rPr>
      </w:pPr>
      <w:r>
        <w:rPr>
          <w:b/>
          <w:color w:val="C00000"/>
          <w:sz w:val="28"/>
        </w:rPr>
        <w:t>При осуществлении раздельного накопления ТКО по видам отходов, группам отходов и группам однородных отходов</w:t>
      </w:r>
      <w:r>
        <w:rPr>
          <w:sz w:val="28"/>
        </w:rPr>
        <w:t xml:space="preserve">, определенным в порядке </w:t>
      </w:r>
      <w:r>
        <w:rPr>
          <w:spacing w:val="-2"/>
          <w:sz w:val="28"/>
        </w:rPr>
        <w:t>накопления</w:t>
      </w:r>
      <w:r>
        <w:rPr>
          <w:sz w:val="28"/>
        </w:rPr>
        <w:tab/>
      </w:r>
      <w:r>
        <w:rPr>
          <w:spacing w:val="-6"/>
          <w:sz w:val="28"/>
        </w:rPr>
        <w:t>(в</w:t>
      </w:r>
      <w:r>
        <w:rPr>
          <w:sz w:val="28"/>
        </w:rPr>
        <w:tab/>
      </w:r>
      <w:r>
        <w:rPr>
          <w:spacing w:val="-4"/>
          <w:sz w:val="28"/>
        </w:rPr>
        <w:t>том</w:t>
      </w:r>
      <w:r>
        <w:rPr>
          <w:sz w:val="28"/>
        </w:rPr>
        <w:tab/>
      </w:r>
      <w:r>
        <w:rPr>
          <w:spacing w:val="-2"/>
          <w:sz w:val="28"/>
        </w:rPr>
        <w:t>числе</w:t>
      </w:r>
      <w:r>
        <w:rPr>
          <w:sz w:val="28"/>
        </w:rPr>
        <w:tab/>
      </w:r>
      <w:r>
        <w:rPr>
          <w:spacing w:val="-2"/>
          <w:sz w:val="28"/>
        </w:rPr>
        <w:t>раздельного</w:t>
      </w:r>
      <w:r>
        <w:rPr>
          <w:sz w:val="28"/>
        </w:rPr>
        <w:tab/>
      </w:r>
      <w:r>
        <w:rPr>
          <w:spacing w:val="-2"/>
          <w:sz w:val="28"/>
        </w:rPr>
        <w:t xml:space="preserve">накопления) </w:t>
      </w:r>
      <w:r>
        <w:rPr>
          <w:sz w:val="28"/>
        </w:rPr>
        <w:t>ТКО,</w:t>
      </w:r>
      <w:r>
        <w:rPr>
          <w:spacing w:val="-1"/>
          <w:sz w:val="28"/>
        </w:rPr>
        <w:t xml:space="preserve"> </w:t>
      </w:r>
      <w:r>
        <w:rPr>
          <w:sz w:val="28"/>
        </w:rPr>
        <w:t>утвержденном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исполнительным органом субъекта Российской Федерации, </w:t>
      </w:r>
      <w:r>
        <w:rPr>
          <w:b/>
          <w:color w:val="C00000"/>
          <w:sz w:val="28"/>
        </w:rPr>
        <w:t>складирование</w:t>
      </w:r>
      <w:r>
        <w:rPr>
          <w:b/>
          <w:color w:val="C00000"/>
          <w:spacing w:val="-2"/>
          <w:sz w:val="28"/>
        </w:rPr>
        <w:t xml:space="preserve"> </w:t>
      </w:r>
      <w:r>
        <w:rPr>
          <w:b/>
          <w:color w:val="C00000"/>
          <w:sz w:val="28"/>
        </w:rPr>
        <w:t xml:space="preserve">таких видов </w:t>
      </w:r>
      <w:r>
        <w:rPr>
          <w:sz w:val="28"/>
        </w:rPr>
        <w:t xml:space="preserve">отходов, групп отходов и групп однородных </w:t>
      </w:r>
      <w:r>
        <w:rPr>
          <w:b/>
          <w:color w:val="C00000"/>
          <w:sz w:val="28"/>
        </w:rPr>
        <w:t xml:space="preserve">отходов осуществляется в </w:t>
      </w:r>
      <w:r>
        <w:rPr>
          <w:sz w:val="28"/>
        </w:rPr>
        <w:t xml:space="preserve">контейнеры и (или) бункеры или иные накопители </w:t>
      </w:r>
      <w:r>
        <w:rPr>
          <w:b/>
          <w:color w:val="C00000"/>
          <w:sz w:val="28"/>
        </w:rPr>
        <w:t xml:space="preserve">следующих </w:t>
      </w:r>
      <w:r>
        <w:rPr>
          <w:b/>
          <w:color w:val="C00000"/>
          <w:spacing w:val="-2"/>
          <w:sz w:val="28"/>
        </w:rPr>
        <w:t>цветов:</w:t>
      </w:r>
    </w:p>
    <w:p>
      <w:pPr>
        <w:pStyle w:val="ListParagraph"/>
        <w:numPr>
          <w:ilvl w:val="1"/>
          <w:numId w:val="3"/>
        </w:numPr>
        <w:tabs>
          <w:tab w:val="clear" w:pos="720"/>
          <w:tab w:val="left" w:pos="1855" w:leader="none"/>
        </w:tabs>
        <w:spacing w:lineRule="auto" w:line="240" w:before="0" w:after="0"/>
        <w:ind w:left="1855" w:right="135" w:hanging="361"/>
        <w:jc w:val="both"/>
        <w:rPr>
          <w:sz w:val="28"/>
        </w:rPr>
      </w:pPr>
      <w:r>
        <w:rPr>
          <w:b/>
          <w:color w:val="C00000"/>
          <w:sz w:val="28"/>
        </w:rPr>
        <w:t xml:space="preserve">оранжевый цвет </w:t>
      </w:r>
      <w:r>
        <w:rPr>
          <w:sz w:val="28"/>
        </w:rPr>
        <w:t xml:space="preserve">- для незагрязненных пластмассовых изделий, утративших свои потребительские свойства (исключая резиновые изделия), и (или) незагрязненного лома и отходов черных и цветных </w:t>
      </w:r>
      <w:r>
        <w:rPr>
          <w:spacing w:val="-2"/>
          <w:sz w:val="28"/>
        </w:rPr>
        <w:t>металлов;</w:t>
      </w:r>
    </w:p>
    <w:p>
      <w:pPr>
        <w:pStyle w:val="ListParagraph"/>
        <w:numPr>
          <w:ilvl w:val="1"/>
          <w:numId w:val="3"/>
        </w:numPr>
        <w:tabs>
          <w:tab w:val="clear" w:pos="720"/>
          <w:tab w:val="left" w:pos="1855" w:leader="none"/>
        </w:tabs>
        <w:spacing w:lineRule="auto" w:line="240" w:before="0" w:after="0"/>
        <w:ind w:left="1855" w:right="140" w:hanging="361"/>
        <w:jc w:val="both"/>
        <w:rPr>
          <w:sz w:val="28"/>
        </w:rPr>
      </w:pPr>
      <w:r>
        <w:rPr>
          <w:b/>
          <w:color w:val="C00000"/>
          <w:sz w:val="28"/>
        </w:rPr>
        <w:t xml:space="preserve">зеленый цвет </w:t>
      </w:r>
      <w:r>
        <w:rPr>
          <w:sz w:val="28"/>
        </w:rPr>
        <w:t xml:space="preserve">- для незагрязненных отходов стекла и изделий из </w:t>
      </w:r>
      <w:r>
        <w:rPr>
          <w:spacing w:val="-2"/>
          <w:sz w:val="28"/>
        </w:rPr>
        <w:t>стекла;</w:t>
      </w:r>
    </w:p>
    <w:p>
      <w:pPr>
        <w:pStyle w:val="ListParagraph"/>
        <w:numPr>
          <w:ilvl w:val="1"/>
          <w:numId w:val="3"/>
        </w:numPr>
        <w:tabs>
          <w:tab w:val="clear" w:pos="720"/>
          <w:tab w:val="left" w:pos="1855" w:leader="none"/>
        </w:tabs>
        <w:spacing w:lineRule="auto" w:line="240" w:before="0" w:after="0"/>
        <w:ind w:left="1855" w:right="136" w:hanging="361"/>
        <w:jc w:val="both"/>
        <w:rPr>
          <w:sz w:val="28"/>
        </w:rPr>
      </w:pPr>
      <w:r>
        <w:rPr>
          <w:b/>
          <w:color w:val="C00000"/>
          <w:sz w:val="28"/>
        </w:rPr>
        <w:t xml:space="preserve">коричневый цвет </w:t>
      </w:r>
      <w:r>
        <w:rPr>
          <w:sz w:val="28"/>
        </w:rPr>
        <w:t xml:space="preserve">- для отходов пищевой продукции, исключая напитки и табачные изделия, утратившие свои потребительские </w:t>
      </w:r>
      <w:r>
        <w:rPr>
          <w:spacing w:val="-2"/>
          <w:sz w:val="28"/>
        </w:rPr>
        <w:t>свойства;</w:t>
      </w:r>
    </w:p>
    <w:p>
      <w:pPr>
        <w:pStyle w:val="ListParagraph"/>
        <w:numPr>
          <w:ilvl w:val="1"/>
          <w:numId w:val="3"/>
        </w:numPr>
        <w:tabs>
          <w:tab w:val="clear" w:pos="720"/>
          <w:tab w:val="left" w:pos="1855" w:leader="none"/>
        </w:tabs>
        <w:spacing w:lineRule="exact" w:line="321" w:before="0" w:after="0"/>
        <w:ind w:left="1855" w:right="0" w:hanging="360"/>
        <w:jc w:val="both"/>
        <w:rPr>
          <w:sz w:val="28"/>
        </w:rPr>
      </w:pPr>
      <w:r>
        <w:rPr>
          <w:b/>
          <w:color w:val="C00000"/>
          <w:sz w:val="28"/>
        </w:rPr>
        <w:t>серый</w:t>
      </w:r>
      <w:r>
        <w:rPr>
          <w:b/>
          <w:color w:val="C00000"/>
          <w:spacing w:val="-9"/>
          <w:sz w:val="28"/>
        </w:rPr>
        <w:t xml:space="preserve"> </w:t>
      </w:r>
      <w:r>
        <w:rPr>
          <w:b/>
          <w:color w:val="C00000"/>
          <w:sz w:val="28"/>
        </w:rPr>
        <w:t>цвет</w:t>
      </w:r>
      <w:r>
        <w:rPr>
          <w:b/>
          <w:color w:val="C00000"/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10"/>
          <w:sz w:val="28"/>
        </w:rPr>
        <w:t xml:space="preserve"> </w:t>
      </w:r>
      <w:r>
        <w:rPr>
          <w:sz w:val="28"/>
        </w:rPr>
        <w:t>несортированных</w:t>
      </w:r>
      <w:r>
        <w:rPr>
          <w:spacing w:val="-5"/>
          <w:sz w:val="28"/>
        </w:rPr>
        <w:t xml:space="preserve"> </w:t>
      </w:r>
      <w:r>
        <w:rPr>
          <w:sz w:val="28"/>
        </w:rPr>
        <w:t>твердых</w:t>
      </w:r>
      <w:r>
        <w:rPr>
          <w:spacing w:val="-6"/>
          <w:sz w:val="28"/>
        </w:rPr>
        <w:t xml:space="preserve"> </w:t>
      </w:r>
      <w:r>
        <w:rPr>
          <w:sz w:val="28"/>
        </w:rPr>
        <w:t>коммунальных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отходов.</w:t>
      </w:r>
    </w:p>
    <w:p>
      <w:pPr>
        <w:pStyle w:val="Normal"/>
        <w:spacing w:lineRule="auto" w:line="240" w:before="0" w:after="0"/>
        <w:ind w:left="282" w:right="137" w:firstLine="852"/>
        <w:jc w:val="both"/>
        <w:rPr>
          <w:b/>
          <w:sz w:val="28"/>
        </w:rPr>
      </w:pPr>
      <w:r>
        <w:rPr>
          <w:b/>
          <w:color w:val="C00000"/>
          <w:sz w:val="28"/>
        </w:rPr>
        <w:t xml:space="preserve">Неправильная сортировка мусора </w:t>
      </w:r>
      <w:r>
        <w:rPr>
          <w:sz w:val="28"/>
        </w:rPr>
        <w:t xml:space="preserve">- складирование не в те контейнеры, которые для этого типа отходов предназначены - будет считаться </w:t>
      </w:r>
      <w:r>
        <w:rPr>
          <w:b/>
          <w:color w:val="C00000"/>
          <w:spacing w:val="-2"/>
          <w:sz w:val="28"/>
        </w:rPr>
        <w:t>правонарушением.</w:t>
      </w:r>
    </w:p>
    <w:p>
      <w:pPr>
        <w:pStyle w:val="Style14"/>
        <w:spacing w:before="63" w:after="0"/>
        <w:ind w:left="282" w:right="138" w:firstLine="852"/>
        <w:rPr/>
      </w:pPr>
      <w:r>
        <w:rPr/>
        <w:t xml:space="preserve">Так, </w:t>
      </w:r>
      <w:r>
        <w:rPr>
          <w:b/>
          <w:color w:val="C00000"/>
        </w:rPr>
        <w:t xml:space="preserve">ч. 1 ст. 8.2 КоАП РФ </w:t>
      </w:r>
      <w:r>
        <w:rPr/>
        <w:t>устанавливает административную ответственность за несоблюдение требований в области охраны окружающей</w:t>
      </w:r>
      <w:r>
        <w:rPr>
          <w:spacing w:val="40"/>
        </w:rPr>
        <w:t xml:space="preserve"> </w:t>
      </w:r>
      <w:r>
        <w:rPr/>
        <w:t>среды при сборе, накоплении, транспортировании, обработке, утилизации или обезвреживании отходов производства и потребления. Санкция данной правовой нормы предусматривает наказание в виде административного штрафа для граждан от</w:t>
      </w:r>
      <w:r>
        <w:rPr>
          <w:spacing w:val="-3"/>
        </w:rPr>
        <w:t xml:space="preserve"> </w:t>
      </w:r>
      <w:r>
        <w:rPr/>
        <w:t>2 тысяч до 3 тысяч рублей, для должностных лиц - от 10 тысяч до 30 тысяч рублей, для индивидуальных предпринимателей – от 30 тысяч до 50 тысяч рублей, для юридических лиц - от 100 тысяч до 250 тысяч рублей или административное приостановление деятельности до 90 суток.</w:t>
      </w:r>
    </w:p>
    <w:p>
      <w:pPr>
        <w:pStyle w:val="Style14"/>
        <w:ind w:left="282" w:right="137" w:firstLine="852"/>
        <w:rPr/>
      </w:pPr>
      <w:r>
        <w:rPr/>
        <w:t xml:space="preserve">Статья </w:t>
      </w:r>
      <w:r>
        <w:rPr>
          <w:b/>
          <w:color w:val="C00000"/>
        </w:rPr>
        <w:t xml:space="preserve">6.35 КоАП РФ </w:t>
      </w:r>
      <w:r>
        <w:rPr/>
        <w:t>устанавливает</w:t>
      </w:r>
      <w:r>
        <w:rPr>
          <w:spacing w:val="-1"/>
        </w:rPr>
        <w:t xml:space="preserve"> </w:t>
      </w:r>
      <w:r>
        <w:rPr/>
        <w:t>административную</w:t>
      </w:r>
      <w:r>
        <w:rPr>
          <w:spacing w:val="-1"/>
        </w:rPr>
        <w:t xml:space="preserve"> </w:t>
      </w:r>
      <w:r>
        <w:rPr/>
        <w:t>ответственность</w:t>
      </w:r>
      <w:r>
        <w:rPr>
          <w:spacing w:val="-1"/>
        </w:rPr>
        <w:t xml:space="preserve"> </w:t>
      </w:r>
      <w:r>
        <w:rPr/>
        <w:t>за нарушение правил обращения с отходами и устанавливает наказание за несоблюдение санитарно-эпидемиологических требований при работе с различными видами отходов производства и потребления, которые в соответствии со ст.1 Федерального закона от 24.06.1998 № 89-ФЗ «Об отходах производства и потребления» представляют собой вещества и предметы, которые образуются в результате производственных процессов, оказания услуг, выполнения работ или в процессе потребления.</w:t>
      </w:r>
    </w:p>
    <w:p>
      <w:pPr>
        <w:sectPr>
          <w:footerReference w:type="default" r:id="rId4"/>
          <w:type w:val="nextPage"/>
          <w:pgSz w:w="11906" w:h="16838"/>
          <w:pgMar w:left="850" w:right="566" w:gutter="0" w:header="0" w:top="1100" w:footer="305" w:bottom="500"/>
          <w:pgNumType w:fmt="decimal"/>
          <w:formProt w:val="false"/>
          <w:textDirection w:val="lrTb"/>
          <w:docGrid w:type="default" w:linePitch="312" w:charSpace="0"/>
        </w:sectPr>
        <w:pStyle w:val="Style14"/>
        <w:ind w:left="282" w:right="137" w:firstLine="852"/>
        <w:rPr/>
      </w:pPr>
      <w:r>
        <w:rPr/>
        <w:t>Санкцией ч. 1 ст. 6.35 КоАП РФ предусмотрено наказание в виде административного штрафа на граждан в размере от 2 тысяч до 3 тысяч рублей, на должностных лиц – от 30 тысяч до 40 тысяч рублей, на индивидуальных предпринимателей – от 50 тысяч до 60 тысяч рублей или административное приостановление деятельности на срок до 90 суток, на юридических лиц – от 250 тысяч до 350 тысяч рублей или административное приостановление деятельности на срок до 90 суток.</w:t>
      </w:r>
    </w:p>
    <w:p>
      <w:pPr>
        <w:pStyle w:val="Normal"/>
        <w:spacing w:before="64" w:after="0"/>
        <w:ind w:left="0" w:right="284" w:hanging="0"/>
        <w:jc w:val="center"/>
        <w:rPr>
          <w:b/>
          <w:sz w:val="36"/>
        </w:rPr>
      </w:pPr>
      <w:r>
        <w:rPr>
          <w:b/>
          <w:color w:val="C00000"/>
          <w:sz w:val="36"/>
        </w:rPr>
        <w:t>ОТВЕТСТВЕННОСТЬ</w:t>
      </w:r>
      <w:r>
        <w:rPr>
          <w:b/>
          <w:color w:val="C00000"/>
          <w:spacing w:val="-10"/>
          <w:sz w:val="36"/>
        </w:rPr>
        <w:t xml:space="preserve"> </w:t>
      </w:r>
      <w:r>
        <w:rPr>
          <w:b/>
          <w:color w:val="C00000"/>
          <w:sz w:val="36"/>
        </w:rPr>
        <w:t>ИСПОЛНИТЕЛЯ</w:t>
      </w:r>
      <w:r>
        <w:rPr>
          <w:b/>
          <w:color w:val="C00000"/>
          <w:spacing w:val="-10"/>
          <w:sz w:val="36"/>
        </w:rPr>
        <w:t xml:space="preserve"> </w:t>
      </w:r>
      <w:r>
        <w:rPr>
          <w:b/>
          <w:color w:val="C00000"/>
          <w:sz w:val="36"/>
        </w:rPr>
        <w:t>ЗА</w:t>
      </w:r>
      <w:r>
        <w:rPr>
          <w:b/>
          <w:color w:val="C00000"/>
          <w:spacing w:val="-10"/>
          <w:sz w:val="36"/>
        </w:rPr>
        <w:t xml:space="preserve"> </w:t>
      </w:r>
      <w:r>
        <w:rPr>
          <w:b/>
          <w:color w:val="C00000"/>
          <w:sz w:val="36"/>
        </w:rPr>
        <w:t>НАРУШЕНИЕ КАЧЕСТВА ПРЕДОСТАВЛЕНИЯ ПОТРЕБИТЕЛЮ</w:t>
      </w:r>
    </w:p>
    <w:p>
      <w:pPr>
        <w:pStyle w:val="Normal"/>
        <w:spacing w:before="0" w:after="0"/>
        <w:ind w:left="0" w:right="283" w:hanging="0"/>
        <w:jc w:val="center"/>
        <w:rPr>
          <w:b/>
          <w:sz w:val="36"/>
        </w:rPr>
      </w:pPr>
      <w:r>
        <w:rPr>
          <w:b/>
          <w:color w:val="C00000"/>
          <w:sz w:val="36"/>
        </w:rPr>
        <w:t>КОММУНАЛЬНЫХ</w:t>
      </w:r>
      <w:r>
        <w:rPr>
          <w:b/>
          <w:color w:val="C00000"/>
          <w:spacing w:val="-2"/>
          <w:sz w:val="36"/>
        </w:rPr>
        <w:t xml:space="preserve"> УСЛУГ</w:t>
      </w:r>
    </w:p>
    <w:p>
      <w:pPr>
        <w:pStyle w:val="Style14"/>
        <w:tabs>
          <w:tab w:val="clear" w:pos="720"/>
          <w:tab w:val="left" w:pos="5583" w:leader="none"/>
          <w:tab w:val="left" w:pos="5681" w:leader="none"/>
          <w:tab w:val="left" w:pos="8116" w:leader="none"/>
        </w:tabs>
        <w:spacing w:before="275" w:after="0"/>
        <w:ind w:left="2979" w:right="335" w:firstLine="777"/>
        <w:rPr/>
      </w:pPr>
      <w:r>
        <w:drawing>
          <wp:anchor behindDoc="0" distT="0" distB="0" distL="0" distR="0" simplePos="0" locked="0" layoutInCell="0" allowOverlap="1" relativeHeight="16">
            <wp:simplePos x="0" y="0"/>
            <wp:positionH relativeFrom="page">
              <wp:posOffset>625475</wp:posOffset>
            </wp:positionH>
            <wp:positionV relativeFrom="paragraph">
              <wp:posOffset>374015</wp:posOffset>
            </wp:positionV>
            <wp:extent cx="1595120" cy="1548130"/>
            <wp:effectExtent l="0" t="0" r="0" b="0"/>
            <wp:wrapNone/>
            <wp:docPr id="3" name="Image 16" descr="Словарь ЖКХ - ООО &quot;Управляющая компания &quot;Прок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16" descr="Словарь ЖКХ - ООО &quot;Управляющая компания &quot;Прок&quot;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5120" cy="1548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 xml:space="preserve">Согласно </w:t>
      </w:r>
      <w:hyperlink r:id="rId6">
        <w:r>
          <w:rPr/>
          <w:t>п. 150</w:t>
        </w:r>
      </w:hyperlink>
      <w:r>
        <w:rPr/>
        <w:t xml:space="preserve"> Правил предоставления коммунальных</w:t>
      </w:r>
      <w:r>
        <w:rPr>
          <w:spacing w:val="-1"/>
        </w:rPr>
        <w:t xml:space="preserve"> </w:t>
      </w:r>
      <w:r>
        <w:rPr/>
        <w:t>услуг</w:t>
      </w:r>
      <w:r>
        <w:rPr>
          <w:spacing w:val="-3"/>
        </w:rPr>
        <w:t xml:space="preserve"> </w:t>
      </w:r>
      <w:r>
        <w:rPr/>
        <w:t>собственникам</w:t>
      </w:r>
      <w:r>
        <w:rPr>
          <w:spacing w:val="40"/>
        </w:rPr>
        <w:t xml:space="preserve"> </w:t>
      </w:r>
      <w:r>
        <w:rPr/>
        <w:t>и</w:t>
      </w:r>
      <w:r>
        <w:rPr>
          <w:spacing w:val="40"/>
        </w:rPr>
        <w:t xml:space="preserve"> </w:t>
      </w:r>
      <w:r>
        <w:rPr/>
        <w:t>пользователям помещений</w:t>
      </w:r>
      <w:r>
        <w:rPr>
          <w:spacing w:val="40"/>
        </w:rPr>
        <w:t xml:space="preserve"> </w:t>
      </w:r>
      <w:r>
        <w:rPr/>
        <w:t>в</w:t>
      </w:r>
      <w:r>
        <w:rPr>
          <w:spacing w:val="40"/>
        </w:rPr>
        <w:t xml:space="preserve"> </w:t>
      </w:r>
      <w:r>
        <w:rPr/>
        <w:t>многоквартирных</w:t>
      </w:r>
      <w:r>
        <w:rPr>
          <w:spacing w:val="40"/>
        </w:rPr>
        <w:t xml:space="preserve"> </w:t>
      </w:r>
      <w:r>
        <w:rPr/>
        <w:t>домах</w:t>
      </w:r>
      <w:r>
        <w:rPr>
          <w:spacing w:val="40"/>
        </w:rPr>
        <w:t xml:space="preserve"> </w:t>
      </w:r>
      <w:r>
        <w:rPr/>
        <w:t>и</w:t>
      </w:r>
      <w:r>
        <w:rPr>
          <w:spacing w:val="40"/>
        </w:rPr>
        <w:t xml:space="preserve"> </w:t>
      </w:r>
      <w:r>
        <w:rPr/>
        <w:t>жилых</w:t>
      </w:r>
      <w:r>
        <w:rPr>
          <w:spacing w:val="40"/>
        </w:rPr>
        <w:t xml:space="preserve"> </w:t>
      </w:r>
      <w:r>
        <w:rPr/>
        <w:t>домов, утв.</w:t>
      </w:r>
      <w:r>
        <w:rPr>
          <w:spacing w:val="-3"/>
        </w:rPr>
        <w:t xml:space="preserve"> </w:t>
      </w:r>
      <w:hyperlink r:id="rId7">
        <w:r>
          <w:rPr/>
          <w:t>постановлением</w:t>
        </w:r>
      </w:hyperlink>
      <w:r>
        <w:rPr>
          <w:spacing w:val="-1"/>
        </w:rPr>
        <w:t xml:space="preserve"> </w:t>
      </w:r>
      <w:r>
        <w:rPr/>
        <w:t>Правительства</w:t>
      </w:r>
      <w:r>
        <w:rPr>
          <w:spacing w:val="40"/>
        </w:rPr>
        <w:t xml:space="preserve">  </w:t>
      </w:r>
      <w:r>
        <w:rPr/>
        <w:t>РФ</w:t>
      </w:r>
      <w:r>
        <w:rPr>
          <w:spacing w:val="80"/>
        </w:rPr>
        <w:t xml:space="preserve">  </w:t>
      </w:r>
      <w:r>
        <w:rPr/>
        <w:t>от</w:t>
      </w:r>
      <w:r>
        <w:rPr>
          <w:spacing w:val="80"/>
        </w:rPr>
        <w:t xml:space="preserve">  </w:t>
      </w:r>
      <w:r>
        <w:rPr/>
        <w:t>06.05.2011 N</w:t>
      </w:r>
      <w:r>
        <w:rPr>
          <w:spacing w:val="-4"/>
        </w:rPr>
        <w:t xml:space="preserve"> </w:t>
      </w:r>
      <w:r>
        <w:rPr/>
        <w:t xml:space="preserve">354 (далее – Правила), </w:t>
      </w:r>
      <w:r>
        <w:rPr>
          <w:b/>
          <w:color w:val="C00000"/>
        </w:rPr>
        <w:t xml:space="preserve">исполнитель, допустивший </w:t>
      </w:r>
      <w:r>
        <w:rPr>
          <w:b/>
          <w:color w:val="C00000"/>
          <w:spacing w:val="-2"/>
        </w:rPr>
        <w:t>нарушение</w:t>
      </w:r>
      <w:r>
        <w:rPr>
          <w:b/>
          <w:color w:val="C00000"/>
        </w:rPr>
        <w:tab/>
        <w:tab/>
      </w:r>
      <w:r>
        <w:rPr>
          <w:b/>
          <w:color w:val="C00000"/>
          <w:spacing w:val="-2"/>
        </w:rPr>
        <w:t>качества</w:t>
      </w:r>
      <w:r>
        <w:rPr>
          <w:b/>
          <w:color w:val="C00000"/>
        </w:rPr>
        <w:tab/>
      </w:r>
      <w:r>
        <w:rPr>
          <w:b/>
          <w:color w:val="C00000"/>
          <w:spacing w:val="-2"/>
        </w:rPr>
        <w:t xml:space="preserve">предоставления </w:t>
      </w:r>
      <w:r>
        <w:rPr>
          <w:b/>
          <w:color w:val="C00000"/>
        </w:rPr>
        <w:t>коммунальной</w:t>
      </w:r>
      <w:r>
        <w:rPr>
          <w:b/>
          <w:color w:val="C00000"/>
          <w:spacing w:val="-2"/>
        </w:rPr>
        <w:t xml:space="preserve"> </w:t>
      </w:r>
      <w:r>
        <w:rPr>
          <w:b/>
          <w:color w:val="C00000"/>
        </w:rPr>
        <w:t>услуги</w:t>
      </w:r>
      <w:r>
        <w:rPr>
          <w:b/>
          <w:color w:val="C00000"/>
          <w:spacing w:val="40"/>
        </w:rPr>
        <w:t xml:space="preserve"> </w:t>
      </w:r>
      <w:r>
        <w:rPr/>
        <w:t xml:space="preserve">вследствие предоставления </w:t>
      </w:r>
      <w:r>
        <w:rPr>
          <w:spacing w:val="-2"/>
        </w:rPr>
        <w:t>потребителю</w:t>
      </w:r>
      <w:r>
        <w:rPr/>
        <w:tab/>
        <w:t>коммунальной</w:t>
      </w:r>
      <w:r>
        <w:rPr>
          <w:spacing w:val="-16"/>
        </w:rPr>
        <w:t xml:space="preserve"> </w:t>
      </w:r>
      <w:r>
        <w:rPr/>
        <w:t>услуги</w:t>
      </w:r>
      <w:r>
        <w:rPr>
          <w:spacing w:val="-16"/>
        </w:rPr>
        <w:t xml:space="preserve"> </w:t>
      </w:r>
      <w:r>
        <w:rPr/>
        <w:t>ненадлежащего качества</w:t>
      </w:r>
      <w:r>
        <w:rPr>
          <w:spacing w:val="64"/>
          <w:w w:val="150"/>
        </w:rPr>
        <w:t xml:space="preserve">   </w:t>
      </w:r>
      <w:r>
        <w:rPr/>
        <w:t>или</w:t>
      </w:r>
      <w:r>
        <w:rPr>
          <w:spacing w:val="67"/>
          <w:w w:val="150"/>
        </w:rPr>
        <w:t xml:space="preserve">   </w:t>
      </w:r>
      <w:r>
        <w:rPr/>
        <w:t>с</w:t>
      </w:r>
      <w:r>
        <w:rPr>
          <w:spacing w:val="68"/>
          <w:w w:val="150"/>
        </w:rPr>
        <w:t xml:space="preserve">   </w:t>
      </w:r>
      <w:r>
        <w:rPr/>
        <w:t>перерывами,</w:t>
      </w:r>
      <w:r>
        <w:rPr>
          <w:spacing w:val="68"/>
          <w:w w:val="150"/>
        </w:rPr>
        <w:t xml:space="preserve">   </w:t>
      </w:r>
      <w:r>
        <w:rPr>
          <w:spacing w:val="-2"/>
        </w:rPr>
        <w:t>превышающими</w:t>
      </w:r>
    </w:p>
    <w:p>
      <w:pPr>
        <w:pStyle w:val="1"/>
        <w:spacing w:lineRule="auto" w:line="240"/>
        <w:ind w:left="57" w:right="334" w:hanging="0"/>
        <w:jc w:val="both"/>
        <w:rPr/>
      </w:pPr>
      <w:r>
        <w:rPr>
          <w:b w:val="false"/>
        </w:rPr>
        <w:t>установленную продолжительность,</w:t>
      </w:r>
      <w:r>
        <w:rPr>
          <w:b w:val="false"/>
          <w:spacing w:val="-2"/>
        </w:rPr>
        <w:t xml:space="preserve"> </w:t>
      </w:r>
      <w:r>
        <w:rPr>
          <w:color w:val="C00000"/>
        </w:rPr>
        <w:t>обязан</w:t>
      </w:r>
      <w:r>
        <w:rPr>
          <w:color w:val="C00000"/>
          <w:spacing w:val="-6"/>
        </w:rPr>
        <w:t xml:space="preserve"> </w:t>
      </w:r>
      <w:r>
        <w:rPr>
          <w:color w:val="C00000"/>
        </w:rPr>
        <w:t>произвести перерасчет потребителю размера платы за такую коммунальную</w:t>
      </w:r>
      <w:r>
        <w:rPr>
          <w:color w:val="C00000"/>
          <w:spacing w:val="-4"/>
        </w:rPr>
        <w:t xml:space="preserve"> </w:t>
      </w:r>
      <w:r>
        <w:rPr>
          <w:color w:val="C00000"/>
        </w:rPr>
        <w:t>услугу в сторону ее уменьшения вплоть до полного освобождения потребителя от оплаты такой услуги.</w:t>
      </w:r>
    </w:p>
    <w:p>
      <w:pPr>
        <w:pStyle w:val="Normal"/>
        <w:spacing w:lineRule="auto" w:line="240" w:before="0" w:after="0"/>
        <w:ind w:left="57" w:right="339" w:firstLine="708"/>
        <w:jc w:val="both"/>
        <w:rPr>
          <w:b/>
          <w:sz w:val="28"/>
        </w:rPr>
      </w:pPr>
      <w:r>
        <w:rPr>
          <w:sz w:val="28"/>
        </w:rPr>
        <w:t>Кроме того, в соответствии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с </w:t>
      </w:r>
      <w:hyperlink r:id="rId8">
        <w:r>
          <w:rPr>
            <w:sz w:val="28"/>
          </w:rPr>
          <w:t>п. 157</w:t>
        </w:r>
      </w:hyperlink>
      <w:r>
        <w:rPr>
          <w:spacing w:val="-3"/>
          <w:sz w:val="28"/>
        </w:rPr>
        <w:t xml:space="preserve"> </w:t>
      </w:r>
      <w:r>
        <w:rPr>
          <w:sz w:val="28"/>
        </w:rPr>
        <w:t xml:space="preserve">Правил при предоставлении потребителю коммунальных услуг ненадлежащего качества или с перерывами, превышающими установленную продолжительность, </w:t>
      </w:r>
      <w:r>
        <w:rPr>
          <w:b/>
          <w:color w:val="C00000"/>
          <w:sz w:val="28"/>
        </w:rPr>
        <w:t>потребитель вправе также потребовать от исполнителя уплаты неустоек (штрафов, пеней).</w:t>
      </w:r>
    </w:p>
    <w:p>
      <w:pPr>
        <w:pStyle w:val="Style14"/>
        <w:ind w:left="57" w:right="340" w:firstLine="708"/>
        <w:rPr>
          <w:b/>
        </w:rPr>
      </w:pPr>
      <w:r>
        <w:rPr/>
        <w:t>Требование</w:t>
      </w:r>
      <w:r>
        <w:rPr>
          <w:spacing w:val="-2"/>
        </w:rPr>
        <w:t xml:space="preserve"> </w:t>
      </w:r>
      <w:r>
        <w:rPr/>
        <w:t>об уплате неустойки (штрафов,</w:t>
      </w:r>
      <w:r>
        <w:rPr>
          <w:spacing w:val="-3"/>
        </w:rPr>
        <w:t xml:space="preserve"> </w:t>
      </w:r>
      <w:r>
        <w:rPr/>
        <w:t>пеней)</w:t>
      </w:r>
      <w:r>
        <w:rPr>
          <w:spacing w:val="-2"/>
        </w:rPr>
        <w:t xml:space="preserve"> </w:t>
      </w:r>
      <w:r>
        <w:rPr/>
        <w:t>может</w:t>
      </w:r>
      <w:r>
        <w:rPr>
          <w:spacing w:val="-2"/>
        </w:rPr>
        <w:t xml:space="preserve"> </w:t>
      </w:r>
      <w:r>
        <w:rPr/>
        <w:t xml:space="preserve">быть предъявлено к исполнителю </w:t>
      </w:r>
      <w:r>
        <w:rPr>
          <w:b/>
          <w:color w:val="C00000"/>
        </w:rPr>
        <w:t>в следующих случаях: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77" w:leader="none"/>
        </w:tabs>
        <w:spacing w:lineRule="auto" w:line="240" w:before="0" w:after="0"/>
        <w:ind w:left="777" w:right="343" w:hanging="361"/>
        <w:jc w:val="both"/>
        <w:rPr>
          <w:sz w:val="28"/>
        </w:rPr>
      </w:pPr>
      <w:r>
        <w:rPr>
          <w:sz w:val="28"/>
        </w:rPr>
        <w:t>исполнитель после заключения договора управления домом своевременно не приступил к предоставлению коммунальных услуг;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77" w:leader="none"/>
        </w:tabs>
        <w:spacing w:lineRule="auto" w:line="240" w:before="0" w:after="0"/>
        <w:ind w:left="777" w:right="337" w:hanging="361"/>
        <w:jc w:val="both"/>
        <w:rPr>
          <w:sz w:val="28"/>
        </w:rPr>
      </w:pPr>
      <w:r>
        <w:rPr>
          <w:sz w:val="28"/>
        </w:rPr>
        <w:t xml:space="preserve">суммарное время перерывов в предоставлении коммунальных услуг за расчетный период превышает допустимые перерывы в предоставлении коммунальных услуг, установленные в </w:t>
      </w:r>
      <w:hyperlink r:id="rId9">
        <w:r>
          <w:rPr>
            <w:sz w:val="28"/>
          </w:rPr>
          <w:t>приложении N 1</w:t>
        </w:r>
      </w:hyperlink>
      <w:r>
        <w:rPr>
          <w:sz w:val="28"/>
        </w:rPr>
        <w:t xml:space="preserve"> к Правилам;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77" w:leader="none"/>
        </w:tabs>
        <w:spacing w:lineRule="auto" w:line="240" w:before="0" w:after="0"/>
        <w:ind w:left="777" w:right="338" w:hanging="361"/>
        <w:jc w:val="both"/>
        <w:rPr>
          <w:sz w:val="28"/>
        </w:rPr>
      </w:pPr>
      <w:r>
        <w:rPr>
          <w:sz w:val="28"/>
        </w:rPr>
        <w:t>давление холодной или горячей воды или температура горячей воды в точке водоразбора не отвечают установленным требованиям;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77" w:leader="none"/>
        </w:tabs>
        <w:spacing w:lineRule="auto" w:line="240" w:before="0" w:after="0"/>
        <w:ind w:left="777" w:right="343" w:hanging="361"/>
        <w:jc w:val="both"/>
        <w:rPr>
          <w:sz w:val="28"/>
        </w:rPr>
      </w:pPr>
      <w:r>
        <w:rPr>
          <w:sz w:val="28"/>
        </w:rPr>
        <w:t xml:space="preserve">давление газа в помещении потребителя не соответствует установленным </w:t>
      </w:r>
      <w:r>
        <w:rPr>
          <w:spacing w:val="-2"/>
          <w:sz w:val="28"/>
        </w:rPr>
        <w:t>требованиям;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77" w:leader="none"/>
        </w:tabs>
        <w:spacing w:lineRule="auto" w:line="240" w:before="0" w:after="0"/>
        <w:ind w:left="777" w:right="339" w:hanging="361"/>
        <w:jc w:val="both"/>
        <w:rPr>
          <w:sz w:val="28"/>
        </w:rPr>
      </w:pPr>
      <w:r>
        <w:rPr>
          <w:sz w:val="28"/>
        </w:rPr>
        <w:t>параметры напряжения и частоты в электрической сети в помещении потребителя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отвечают</w:t>
      </w:r>
      <w:r>
        <w:rPr>
          <w:spacing w:val="-1"/>
          <w:sz w:val="28"/>
        </w:rPr>
        <w:t xml:space="preserve"> </w:t>
      </w:r>
      <w:r>
        <w:rPr>
          <w:sz w:val="28"/>
        </w:rPr>
        <w:t>установленным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требованиям (при</w:t>
      </w:r>
      <w:r>
        <w:rPr>
          <w:spacing w:val="-2"/>
          <w:sz w:val="28"/>
        </w:rPr>
        <w:t xml:space="preserve"> </w:t>
      </w:r>
      <w:r>
        <w:rPr>
          <w:sz w:val="28"/>
        </w:rPr>
        <w:t>этом согласно</w:t>
      </w:r>
      <w:r>
        <w:rPr>
          <w:spacing w:val="-2"/>
          <w:sz w:val="28"/>
        </w:rPr>
        <w:t xml:space="preserve"> </w:t>
      </w:r>
      <w:r>
        <w:rPr>
          <w:sz w:val="28"/>
        </w:rPr>
        <w:t>п.3 примечаний к Приложению №1 к Правилам перерыв в предоставлении коммунальной услуги электроснабжения не допускается, если он может повлечь отключение сетей и оборудования, входящего в состав общего имущества в многоквартирном доме, в том числе насосного оборудования, автоматических устройств технологической защиты и иного оборудования, обеспечивающего безаварийную работу внутридомовых инженерных систем и безопасные условия проживания граждан)</w:t>
      </w:r>
    </w:p>
    <w:p>
      <w:pPr>
        <w:sectPr>
          <w:footerReference w:type="default" r:id="rId10"/>
          <w:footerReference w:type="first" r:id="rId11"/>
          <w:type w:val="nextPage"/>
          <w:pgSz w:w="11906" w:h="16838"/>
          <w:pgMar w:left="850" w:right="566" w:gutter="0" w:header="0" w:top="880" w:footer="388" w:bottom="58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2"/>
        </w:numPr>
        <w:tabs>
          <w:tab w:val="clear" w:pos="720"/>
          <w:tab w:val="left" w:pos="777" w:leader="none"/>
        </w:tabs>
        <w:spacing w:lineRule="auto" w:line="240" w:before="0" w:after="0"/>
        <w:ind w:left="777" w:right="342" w:hanging="361"/>
        <w:jc w:val="both"/>
        <w:rPr>
          <w:sz w:val="28"/>
        </w:rPr>
      </w:pPr>
      <w:r>
        <w:rPr>
          <w:sz w:val="28"/>
        </w:rPr>
        <w:t>температура воздуха в помещении потребителя (в том числе в отдельной комнате в квартире) ниже значений, установленных законодательством,</w:t>
      </w:r>
      <w:r>
        <w:rPr>
          <w:spacing w:val="40"/>
          <w:sz w:val="28"/>
        </w:rPr>
        <w:t xml:space="preserve"> </w:t>
      </w:r>
      <w:r>
        <w:rPr>
          <w:sz w:val="28"/>
        </w:rPr>
        <w:t>более чем на величину допустимого отклонения температуры или если давление во внутридомовой системе отопления меньше значения, указанного в приложении N 1 к Правилам.</w:t>
      </w:r>
    </w:p>
    <w:p>
      <w:pPr>
        <w:pStyle w:val="Style14"/>
        <w:spacing w:before="59" w:after="0"/>
        <w:ind w:left="57" w:right="338" w:firstLine="708"/>
        <w:rPr/>
      </w:pPr>
      <w:r>
        <w:rPr/>
        <w:t>Потребитель вправе потребовать от исполнителя уплаты неустоек (штрафов, пеней) за некачественное отопление в случае проведения им мероприятий по подготовке жилого помещения к эксплуатации в осенне-зимний период (установка уплотняющих прокладок в притворах оконных и дверных проемов, замена разбитых стекол, утепление входных дверей в помещение и т.д.);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77" w:leader="none"/>
        </w:tabs>
        <w:spacing w:lineRule="auto" w:line="240" w:before="0" w:after="0"/>
        <w:ind w:left="777" w:right="339" w:hanging="361"/>
        <w:jc w:val="both"/>
        <w:rPr>
          <w:sz w:val="28"/>
        </w:rPr>
      </w:pPr>
      <w:r>
        <w:rPr>
          <w:sz w:val="28"/>
        </w:rPr>
        <w:t>в аварийно-диспетчерской службе отсутствует регистрация сообщения потребителя о нарушении качества предоставления коммунальных услуг или их непредставлении;</w:t>
      </w:r>
    </w:p>
    <w:p>
      <w:pPr>
        <w:pStyle w:val="ListParagraph"/>
        <w:numPr>
          <w:ilvl w:val="0"/>
          <w:numId w:val="2"/>
        </w:numPr>
        <w:tabs>
          <w:tab w:val="clear" w:pos="720"/>
          <w:tab w:val="left" w:pos="777" w:leader="none"/>
        </w:tabs>
        <w:spacing w:lineRule="exact" w:line="322" w:before="0" w:after="0"/>
        <w:ind w:left="777" w:right="0" w:hanging="360"/>
        <w:jc w:val="both"/>
        <w:rPr>
          <w:sz w:val="28"/>
        </w:rPr>
      </w:pP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5"/>
          <w:sz w:val="28"/>
        </w:rPr>
        <w:t xml:space="preserve"> </w:t>
      </w:r>
      <w:r>
        <w:rPr>
          <w:sz w:val="28"/>
        </w:rPr>
        <w:t>случаях,</w:t>
      </w:r>
      <w:r>
        <w:rPr>
          <w:spacing w:val="-7"/>
          <w:sz w:val="28"/>
        </w:rPr>
        <w:t xml:space="preserve"> </w:t>
      </w:r>
      <w:r>
        <w:rPr>
          <w:sz w:val="28"/>
        </w:rPr>
        <w:t>предусмотренных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договором.</w:t>
      </w:r>
    </w:p>
    <w:p>
      <w:pPr>
        <w:pStyle w:val="Style14"/>
        <w:ind w:left="57" w:right="338" w:firstLine="708"/>
        <w:rPr/>
      </w:pPr>
      <w:r>
        <w:rPr/>
        <w:t>В вышеуказанных случаях потребитель вправе требовать с исполнителя уплаты</w:t>
      </w:r>
      <w:r>
        <w:rPr>
          <w:spacing w:val="40"/>
        </w:rPr>
        <w:t xml:space="preserve"> </w:t>
      </w:r>
      <w:r>
        <w:rPr>
          <w:b/>
          <w:color w:val="C00000"/>
        </w:rPr>
        <w:t>неустоек</w:t>
      </w:r>
      <w:r>
        <w:rPr>
          <w:b/>
          <w:color w:val="C00000"/>
          <w:spacing w:val="40"/>
        </w:rPr>
        <w:t xml:space="preserve"> </w:t>
      </w:r>
      <w:r>
        <w:rPr>
          <w:b/>
          <w:color w:val="C00000"/>
        </w:rPr>
        <w:t>(штрафов,</w:t>
      </w:r>
      <w:r>
        <w:rPr>
          <w:b/>
          <w:color w:val="C00000"/>
          <w:spacing w:val="40"/>
        </w:rPr>
        <w:t xml:space="preserve"> </w:t>
      </w:r>
      <w:r>
        <w:rPr>
          <w:b/>
          <w:color w:val="C00000"/>
        </w:rPr>
        <w:t>пеней)</w:t>
      </w:r>
      <w:r>
        <w:rPr>
          <w:b/>
          <w:color w:val="C00000"/>
          <w:spacing w:val="40"/>
        </w:rPr>
        <w:t xml:space="preserve"> </w:t>
      </w:r>
      <w:r>
        <w:rPr/>
        <w:t>в</w:t>
      </w:r>
      <w:r>
        <w:rPr>
          <w:spacing w:val="40"/>
        </w:rPr>
        <w:t xml:space="preserve"> </w:t>
      </w:r>
      <w:r>
        <w:rPr/>
        <w:t>соответствии</w:t>
      </w:r>
      <w:r>
        <w:rPr>
          <w:spacing w:val="40"/>
        </w:rPr>
        <w:t xml:space="preserve"> </w:t>
      </w:r>
      <w:r>
        <w:rPr/>
        <w:t>с</w:t>
      </w:r>
      <w:r>
        <w:rPr>
          <w:spacing w:val="40"/>
        </w:rPr>
        <w:t xml:space="preserve"> </w:t>
      </w:r>
      <w:hyperlink r:id="rId12">
        <w:r>
          <w:rPr/>
          <w:t>Законом</w:t>
        </w:r>
      </w:hyperlink>
      <w:r>
        <w:rPr>
          <w:spacing w:val="-2"/>
        </w:rPr>
        <w:t xml:space="preserve"> </w:t>
      </w:r>
      <w:r>
        <w:rPr/>
        <w:t>РФ</w:t>
      </w:r>
      <w:r>
        <w:rPr>
          <w:spacing w:val="40"/>
        </w:rPr>
        <w:t xml:space="preserve"> </w:t>
      </w:r>
      <w:r>
        <w:rPr/>
        <w:t>от</w:t>
      </w:r>
      <w:r>
        <w:rPr>
          <w:spacing w:val="40"/>
        </w:rPr>
        <w:t xml:space="preserve"> </w:t>
      </w:r>
      <w:r>
        <w:rPr/>
        <w:t>07.02.1992 N</w:t>
      </w:r>
      <w:r>
        <w:rPr>
          <w:spacing w:val="-3"/>
        </w:rPr>
        <w:t xml:space="preserve"> </w:t>
      </w:r>
      <w:r>
        <w:rPr/>
        <w:t>2300-I "О</w:t>
      </w:r>
      <w:r>
        <w:rPr>
          <w:spacing w:val="-2"/>
        </w:rPr>
        <w:t xml:space="preserve"> </w:t>
      </w:r>
      <w:r>
        <w:rPr/>
        <w:t>защите прав потребителей".</w:t>
      </w:r>
      <w:r>
        <w:rPr>
          <w:spacing w:val="80"/>
        </w:rPr>
        <w:t xml:space="preserve"> </w:t>
      </w:r>
      <w:r>
        <w:rPr/>
        <w:t xml:space="preserve">Данные требования потребителя коммунальных услуг подлежат удовлетворению исполнителем в добровольном порядке. При удовлетворении судом требований потребителя суд взыскивает с исполнителя за несоблюдение в добровольном порядке удовлетворения требований потребителя </w:t>
      </w:r>
      <w:r>
        <w:rPr>
          <w:b/>
          <w:color w:val="C00000"/>
        </w:rPr>
        <w:t xml:space="preserve">штраф в размере 50 % суммы, присужденной судом в пользу потребителя </w:t>
      </w:r>
      <w:r>
        <w:rPr/>
        <w:t>(</w:t>
      </w:r>
      <w:hyperlink r:id="rId13">
        <w:r>
          <w:rPr/>
          <w:t>п. 154</w:t>
        </w:r>
      </w:hyperlink>
      <w:r>
        <w:rPr/>
        <w:t xml:space="preserve"> Правил).</w:t>
      </w:r>
    </w:p>
    <w:p>
      <w:pPr>
        <w:pStyle w:val="Style14"/>
        <w:ind w:left="57" w:right="337" w:firstLine="708"/>
        <w:rPr/>
      </w:pPr>
      <w:r>
        <w:rPr/>
        <w:t xml:space="preserve">Исполнитель освобождается от ответственности за нарушение качества предоставления коммунальных услуг, если докажет, что такое нарушение произошло </w:t>
      </w:r>
      <w:r>
        <w:rPr>
          <w:b/>
          <w:color w:val="C00000"/>
        </w:rPr>
        <w:t xml:space="preserve">вследствие обстоятельств непреодолимой силы или по вине потребителя. </w:t>
      </w:r>
      <w:r>
        <w:rPr/>
        <w:t>Согласно п.150 Правил к обстоятельствам непреодолимой силы не относятся, в частности, нарушение обязательств со стороны контрагентов исполнителя или действия (бездействие) исполнителя, включая отсутствие у исполнителя необходимых денежных средств.</w:t>
      </w:r>
    </w:p>
    <w:p>
      <w:pPr>
        <w:pStyle w:val="Style14"/>
        <w:ind w:left="57" w:right="341" w:firstLine="708"/>
        <w:rPr/>
      </w:pPr>
      <w:r>
        <w:rPr/>
        <w:t xml:space="preserve">В соответствии с </w:t>
      </w:r>
      <w:r>
        <w:rPr>
          <w:b/>
          <w:color w:val="C00000"/>
        </w:rPr>
        <w:t xml:space="preserve">ч.1 </w:t>
      </w:r>
      <w:hyperlink r:id="rId14">
        <w:r>
          <w:rPr>
            <w:b/>
            <w:color w:val="C00000"/>
          </w:rPr>
          <w:t>ст. 7.23</w:t>
        </w:r>
      </w:hyperlink>
      <w:r>
        <w:rPr>
          <w:b/>
          <w:color w:val="C00000"/>
          <w:spacing w:val="-2"/>
        </w:rPr>
        <w:t xml:space="preserve"> </w:t>
      </w:r>
      <w:r>
        <w:rPr>
          <w:b/>
          <w:color w:val="C00000"/>
        </w:rPr>
        <w:t xml:space="preserve">КоАП РФ </w:t>
      </w:r>
      <w:r>
        <w:rPr/>
        <w:t>нарушение нормативного уровня или режима обеспечения населения коммунальными услугами влечет наложение административного штрафа на должностных лиц в размере от пятисот до одной тысячи рублей; на юридических лиц - от пяти тысяч до десяти тысяч рублей.</w:t>
      </w:r>
    </w:p>
    <w:p>
      <w:pPr>
        <w:sectPr>
          <w:footerReference w:type="default" r:id="rId16"/>
          <w:footerReference w:type="first" r:id="rId17"/>
          <w:type w:val="nextPage"/>
          <w:pgSz w:w="11906" w:h="16838"/>
          <w:pgMar w:left="850" w:right="566" w:gutter="0" w:header="0" w:top="880" w:footer="388" w:bottom="580"/>
          <w:pgNumType w:fmt="decimal"/>
          <w:formProt w:val="false"/>
          <w:textDirection w:val="lrTb"/>
          <w:docGrid w:type="default" w:linePitch="100" w:charSpace="4096"/>
        </w:sectPr>
        <w:pStyle w:val="Style14"/>
        <w:spacing w:before="1" w:after="0"/>
        <w:ind w:left="57" w:right="336" w:firstLine="708"/>
        <w:rPr>
          <w:b/>
        </w:rPr>
      </w:pPr>
      <w:r>
        <w:rPr/>
        <w:t>За незаконные прекращение или ограничение подачи потребителям электрической энергии либо отключение их от других источников жизнеобеспечения должностное лицо либо лицо, выполняющее управленческие функции в коммерческой или иной организации, если это повлекло по неосторожности причинение крупного ущерба, тяжкого вреда здоровью или иные тяжкие</w:t>
      </w:r>
      <w:r>
        <w:rPr>
          <w:spacing w:val="40"/>
        </w:rPr>
        <w:t xml:space="preserve"> </w:t>
      </w:r>
      <w:r>
        <w:rPr/>
        <w:t>последствия</w:t>
      </w:r>
      <w:r>
        <w:rPr>
          <w:spacing w:val="40"/>
        </w:rPr>
        <w:t xml:space="preserve"> </w:t>
      </w:r>
      <w:r>
        <w:rPr/>
        <w:t>может</w:t>
      </w:r>
      <w:r>
        <w:rPr>
          <w:spacing w:val="40"/>
        </w:rPr>
        <w:t xml:space="preserve"> </w:t>
      </w:r>
      <w:r>
        <w:rPr/>
        <w:t>быть</w:t>
      </w:r>
      <w:r>
        <w:rPr>
          <w:spacing w:val="40"/>
        </w:rPr>
        <w:t xml:space="preserve"> </w:t>
      </w:r>
      <w:r>
        <w:rPr/>
        <w:t>привлечено</w:t>
      </w:r>
      <w:r>
        <w:rPr>
          <w:spacing w:val="40"/>
        </w:rPr>
        <w:t xml:space="preserve"> </w:t>
      </w:r>
      <w:r>
        <w:rPr/>
        <w:t>и</w:t>
      </w:r>
      <w:r>
        <w:rPr>
          <w:spacing w:val="40"/>
        </w:rPr>
        <w:t xml:space="preserve"> </w:t>
      </w:r>
      <w:r>
        <w:rPr/>
        <w:t>к</w:t>
      </w:r>
      <w:r>
        <w:rPr>
          <w:spacing w:val="40"/>
        </w:rPr>
        <w:t xml:space="preserve"> </w:t>
      </w:r>
      <w:r>
        <w:rPr/>
        <w:t>уголовной</w:t>
      </w:r>
      <w:r>
        <w:rPr>
          <w:spacing w:val="40"/>
        </w:rPr>
        <w:t xml:space="preserve"> </w:t>
      </w:r>
      <w:r>
        <w:rPr/>
        <w:t>ответственности</w:t>
      </w:r>
      <w:r>
        <w:rPr>
          <w:spacing w:val="40"/>
        </w:rPr>
        <w:t xml:space="preserve"> </w:t>
      </w:r>
      <w:r>
        <w:rPr/>
        <w:t xml:space="preserve">по </w:t>
      </w:r>
      <w:hyperlink r:id="rId15">
        <w:r>
          <w:rPr>
            <w:b/>
            <w:color w:val="C00000"/>
          </w:rPr>
          <w:t>ст. 215.1</w:t>
        </w:r>
      </w:hyperlink>
      <w:r>
        <w:rPr>
          <w:b/>
          <w:color w:val="C00000"/>
        </w:rPr>
        <w:t xml:space="preserve"> УК РФ.</w:t>
      </w:r>
    </w:p>
    <w:p>
      <w:pPr>
        <w:pStyle w:val="1"/>
        <w:spacing w:before="64" w:after="0"/>
        <w:rPr/>
      </w:pPr>
      <w:r>
        <w:rPr>
          <w:color w:val="C00000"/>
        </w:rPr>
        <w:t>ФОРМАТ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«ВОПРОС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–</w:t>
      </w:r>
      <w:r>
        <w:rPr>
          <w:color w:val="C00000"/>
          <w:spacing w:val="-3"/>
        </w:rPr>
        <w:t xml:space="preserve"> </w:t>
      </w:r>
      <w:r>
        <w:rPr>
          <w:color w:val="C00000"/>
          <w:spacing w:val="-2"/>
        </w:rPr>
        <w:t>ОТВЕТ»</w:t>
      </w:r>
    </w:p>
    <w:p>
      <w:pPr>
        <w:pStyle w:val="Style14"/>
        <w:spacing w:before="317" w:after="0"/>
        <w:ind w:left="4071" w:right="392" w:firstLine="708"/>
        <w:rPr/>
      </w:pPr>
      <w:r>
        <w:drawing>
          <wp:anchor behindDoc="0" distT="0" distB="0" distL="0" distR="0" simplePos="0" locked="0" layoutInCell="0" allowOverlap="1" relativeHeight="17">
            <wp:simplePos x="0" y="0"/>
            <wp:positionH relativeFrom="page">
              <wp:posOffset>629285</wp:posOffset>
            </wp:positionH>
            <wp:positionV relativeFrom="paragraph">
              <wp:posOffset>203835</wp:posOffset>
            </wp:positionV>
            <wp:extent cx="2371090" cy="2371090"/>
            <wp:effectExtent l="0" t="0" r="0" b="0"/>
            <wp:wrapNone/>
            <wp:docPr id="8" name="Image 17" descr="Что входит в содержание общего имущества многоквартирного дома (МКД)? |  04.08.2025 | Новости Иваново - БезФорма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17" descr="Что входит в содержание общего имущества многоквартирного дома (МКД)? |  04.08.2025 | Новости Иваново - БезФормата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1090" cy="2371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C00000"/>
        </w:rPr>
        <w:t>ВОПРОС:</w:t>
      </w:r>
      <w:r>
        <w:rPr>
          <w:b/>
          <w:color w:val="C00000"/>
          <w:spacing w:val="40"/>
        </w:rPr>
        <w:t xml:space="preserve"> </w:t>
      </w:r>
      <w:r>
        <w:rPr/>
        <w:t>Наша управляющая компания вообще перестала убираться в подъездах, мыть окна и подоконники. Обязана ли она осуществлять работы по текущему содержанию этих помещений общего имущества многоквартирного дома или если обязана, то какие это виды работ?</w:t>
      </w:r>
    </w:p>
    <w:p>
      <w:pPr>
        <w:pStyle w:val="Style14"/>
        <w:spacing w:before="321" w:after="0"/>
        <w:ind w:left="4071" w:right="395" w:firstLine="708"/>
        <w:rPr/>
      </w:pPr>
      <w:r>
        <w:rPr>
          <w:b/>
          <w:color w:val="C00000"/>
        </w:rPr>
        <w:t>ОТВЕТ:</w:t>
      </w:r>
      <w:r>
        <w:rPr>
          <w:b/>
          <w:color w:val="C00000"/>
          <w:spacing w:val="40"/>
        </w:rPr>
        <w:t xml:space="preserve"> </w:t>
      </w:r>
      <w:r>
        <w:rPr/>
        <w:t>Содержание</w:t>
      </w:r>
      <w:r>
        <w:rPr>
          <w:spacing w:val="-2"/>
        </w:rPr>
        <w:t xml:space="preserve"> </w:t>
      </w:r>
      <w:r>
        <w:rPr/>
        <w:t>данных</w:t>
      </w:r>
      <w:r>
        <w:rPr>
          <w:spacing w:val="-2"/>
        </w:rPr>
        <w:t xml:space="preserve"> </w:t>
      </w:r>
      <w:r>
        <w:rPr/>
        <w:t>помещений</w:t>
      </w:r>
      <w:r>
        <w:rPr>
          <w:spacing w:val="-4"/>
        </w:rPr>
        <w:t xml:space="preserve"> </w:t>
      </w:r>
      <w:r>
        <w:rPr/>
        <w:t>в надлежащем состоянии является обязанностью Вашей управляющей компании.</w:t>
      </w:r>
    </w:p>
    <w:p>
      <w:pPr>
        <w:pStyle w:val="Style14"/>
        <w:tabs>
          <w:tab w:val="clear" w:pos="720"/>
          <w:tab w:val="left" w:pos="3360" w:leader="none"/>
          <w:tab w:val="left" w:pos="5386" w:leader="none"/>
          <w:tab w:val="left" w:pos="8497" w:leader="none"/>
        </w:tabs>
        <w:spacing w:before="2" w:after="0"/>
        <w:ind w:left="114" w:right="395" w:firstLine="4664"/>
        <w:rPr/>
      </w:pPr>
      <w:hyperlink r:id="rId19">
        <w:r>
          <w:rPr/>
          <w:t>Постановлением</w:t>
        </w:r>
      </w:hyperlink>
      <w:r>
        <w:rPr/>
        <w:t xml:space="preserve"> Правительства РФ от 3 апреля 2013 г. N</w:t>
      </w:r>
      <w:r>
        <w:rPr>
          <w:spacing w:val="-3"/>
        </w:rPr>
        <w:t xml:space="preserve"> </w:t>
      </w:r>
      <w:r>
        <w:rPr/>
        <w:t xml:space="preserve">290 утвержден Минимальный перечень услуг и работ, </w:t>
      </w:r>
      <w:r>
        <w:rPr>
          <w:spacing w:val="-2"/>
        </w:rPr>
        <w:t xml:space="preserve">необходимых </w:t>
      </w:r>
      <w:r>
        <w:rPr>
          <w:spacing w:val="-4"/>
        </w:rPr>
        <w:t xml:space="preserve">для </w:t>
      </w:r>
      <w:r>
        <w:rPr>
          <w:spacing w:val="-2"/>
        </w:rPr>
        <w:t xml:space="preserve">обеспечения надлежащего </w:t>
      </w:r>
      <w:r>
        <w:rPr/>
        <w:t>содержания общего имущества в многоквартирном доме (далее – Перечень).</w:t>
      </w:r>
    </w:p>
    <w:p>
      <w:pPr>
        <w:pStyle w:val="Style14"/>
        <w:ind w:left="114" w:right="401" w:firstLine="708"/>
        <w:rPr/>
      </w:pPr>
      <w:r>
        <w:rPr/>
        <w:t>Согласно п.23.Перечня работы по содержанию помещений, входящих в состав общего имущества в многоквартирном доме, включают</w:t>
      </w:r>
      <w:r>
        <w:rPr>
          <w:spacing w:val="40"/>
        </w:rPr>
        <w:t xml:space="preserve"> </w:t>
      </w:r>
      <w:r>
        <w:rPr/>
        <w:t>в себя:</w:t>
      </w:r>
    </w:p>
    <w:p>
      <w:pPr>
        <w:pStyle w:val="ListParagraph"/>
        <w:numPr>
          <w:ilvl w:val="0"/>
          <w:numId w:val="0"/>
        </w:numPr>
        <w:tabs>
          <w:tab w:val="clear" w:pos="720"/>
          <w:tab w:val="left" w:pos="391" w:leader="none"/>
        </w:tabs>
        <w:spacing w:lineRule="auto" w:line="240" w:before="0" w:after="0"/>
        <w:ind w:left="114" w:right="403" w:hanging="0"/>
        <w:jc w:val="both"/>
        <w:rPr>
          <w:sz w:val="28"/>
        </w:rPr>
      </w:pPr>
      <w:r>
        <w:rPr>
          <w:sz w:val="28"/>
        </w:rPr>
        <w:t>- сухая и влажная уборка тамбуров, холлов, коридоров, галерей, лифтовых площадок и лифтовых</w:t>
      </w:r>
      <w:r>
        <w:rPr>
          <w:spacing w:val="-2"/>
          <w:sz w:val="28"/>
        </w:rPr>
        <w:t xml:space="preserve"> </w:t>
      </w:r>
      <w:r>
        <w:rPr>
          <w:sz w:val="28"/>
        </w:rPr>
        <w:t>холлов и кабин,</w:t>
      </w:r>
      <w:r>
        <w:rPr>
          <w:spacing w:val="-3"/>
          <w:sz w:val="28"/>
        </w:rPr>
        <w:t xml:space="preserve"> </w:t>
      </w:r>
      <w:r>
        <w:rPr>
          <w:sz w:val="28"/>
        </w:rPr>
        <w:t>лестничных</w:t>
      </w:r>
      <w:r>
        <w:rPr>
          <w:spacing w:val="-2"/>
          <w:sz w:val="28"/>
        </w:rPr>
        <w:t xml:space="preserve"> </w:t>
      </w:r>
      <w:r>
        <w:rPr>
          <w:sz w:val="28"/>
        </w:rPr>
        <w:t>площадок и маршей, пандусов; влажная протирка подоконников, оконных решеток, перил лестниц, шкафов для электросчетчиков слаботочных устройств, почтовых ящиков, дверных коробок, полотен дверей, доводчиков, дверных ручек;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276" w:leader="none"/>
        </w:tabs>
        <w:spacing w:lineRule="exact" w:line="321" w:before="0" w:after="0"/>
        <w:ind w:left="276" w:right="0" w:hanging="162"/>
        <w:jc w:val="both"/>
        <w:rPr>
          <w:sz w:val="28"/>
        </w:rPr>
      </w:pPr>
      <w:r>
        <w:rPr>
          <w:sz w:val="28"/>
        </w:rPr>
        <w:t>мытье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окон;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315" w:leader="none"/>
        </w:tabs>
        <w:spacing w:lineRule="auto" w:line="240" w:before="2" w:after="0"/>
        <w:ind w:left="114" w:right="401" w:hanging="0"/>
        <w:jc w:val="both"/>
        <w:rPr>
          <w:sz w:val="28"/>
        </w:rPr>
      </w:pPr>
      <w:r>
        <w:rPr>
          <w:sz w:val="28"/>
        </w:rPr>
        <w:t>очистка систем защиты от грязи (металлических решеток, ячеистых покрытий, приямков, текстильных матов);</w:t>
      </w:r>
    </w:p>
    <w:p>
      <w:pPr>
        <w:sectPr>
          <w:footerReference w:type="default" r:id="rId20"/>
          <w:footerReference w:type="first" r:id="rId21"/>
          <w:type w:val="nextPage"/>
          <w:pgSz w:w="11906" w:h="16838"/>
          <w:pgMar w:left="850" w:right="566" w:gutter="0" w:header="0" w:top="880" w:footer="388" w:bottom="58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1"/>
        </w:numPr>
        <w:tabs>
          <w:tab w:val="clear" w:pos="720"/>
          <w:tab w:val="left" w:pos="577" w:leader="none"/>
        </w:tabs>
        <w:spacing w:lineRule="auto" w:line="240" w:before="0" w:after="0"/>
        <w:ind w:left="114" w:right="394" w:hanging="0"/>
        <w:jc w:val="both"/>
        <w:rPr>
          <w:sz w:val="28"/>
        </w:rPr>
      </w:pPr>
      <w:r>
        <w:rPr>
          <w:sz w:val="28"/>
        </w:rPr>
        <w:t>проведение</w:t>
      </w:r>
      <w:r>
        <w:rPr>
          <w:spacing w:val="40"/>
          <w:sz w:val="28"/>
        </w:rPr>
        <w:t xml:space="preserve">  </w:t>
      </w:r>
      <w:r>
        <w:rPr>
          <w:sz w:val="28"/>
        </w:rPr>
        <w:t>дератизации</w:t>
      </w:r>
      <w:r>
        <w:rPr>
          <w:spacing w:val="40"/>
          <w:sz w:val="28"/>
        </w:rPr>
        <w:t xml:space="preserve">  </w:t>
      </w:r>
      <w:r>
        <w:rPr>
          <w:sz w:val="28"/>
        </w:rPr>
        <w:t>и</w:t>
      </w:r>
      <w:r>
        <w:rPr>
          <w:spacing w:val="40"/>
          <w:sz w:val="28"/>
        </w:rPr>
        <w:t xml:space="preserve">  </w:t>
      </w:r>
      <w:r>
        <w:rPr>
          <w:sz w:val="28"/>
        </w:rPr>
        <w:t>дезинсекции</w:t>
      </w:r>
      <w:r>
        <w:rPr>
          <w:spacing w:val="80"/>
          <w:sz w:val="28"/>
        </w:rPr>
        <w:t xml:space="preserve">  </w:t>
      </w:r>
      <w:r>
        <w:rPr>
          <w:sz w:val="28"/>
        </w:rPr>
        <w:t>помещений,</w:t>
      </w:r>
      <w:r>
        <w:rPr>
          <w:spacing w:val="40"/>
          <w:sz w:val="28"/>
        </w:rPr>
        <w:t xml:space="preserve">  </w:t>
      </w:r>
      <w:r>
        <w:rPr>
          <w:sz w:val="28"/>
        </w:rPr>
        <w:t>входящих</w:t>
      </w:r>
      <w:r>
        <w:rPr>
          <w:spacing w:val="40"/>
          <w:sz w:val="28"/>
        </w:rPr>
        <w:t xml:space="preserve"> 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-1"/>
          <w:sz w:val="28"/>
        </w:rPr>
        <w:t xml:space="preserve"> </w:t>
      </w:r>
      <w:r>
        <w:rPr>
          <w:sz w:val="28"/>
        </w:rPr>
        <w:t>имущества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многоквартирном</w:t>
      </w:r>
      <w:r>
        <w:rPr>
          <w:spacing w:val="-3"/>
          <w:sz w:val="28"/>
        </w:rPr>
        <w:t xml:space="preserve"> </w:t>
      </w:r>
      <w:r>
        <w:rPr>
          <w:sz w:val="28"/>
        </w:rPr>
        <w:t>доме,</w:t>
      </w:r>
      <w:r>
        <w:rPr>
          <w:spacing w:val="80"/>
          <w:sz w:val="28"/>
        </w:rPr>
        <w:t xml:space="preserve"> </w:t>
      </w:r>
      <w:r>
        <w:rPr>
          <w:sz w:val="28"/>
        </w:rPr>
        <w:t>дезинфекция</w:t>
      </w:r>
      <w:r>
        <w:rPr>
          <w:spacing w:val="80"/>
          <w:sz w:val="28"/>
        </w:rPr>
        <w:t xml:space="preserve"> </w:t>
      </w:r>
      <w:r>
        <w:rPr>
          <w:sz w:val="28"/>
        </w:rPr>
        <w:t>септиков, дворовых туалетов, находящихся на земельном участке, на котором расположен этот дом.</w:t>
      </w:r>
    </w:p>
    <w:p>
      <w:pPr>
        <w:pStyle w:val="1"/>
        <w:spacing w:before="64" w:after="0"/>
        <w:rPr/>
      </w:pPr>
      <w:r>
        <w:rPr>
          <w:color w:val="C00000"/>
        </w:rPr>
        <w:t>ФОРМАТ</w:t>
      </w:r>
      <w:r>
        <w:rPr>
          <w:color w:val="C00000"/>
          <w:spacing w:val="-3"/>
        </w:rPr>
        <w:t xml:space="preserve"> </w:t>
      </w:r>
      <w:r>
        <w:rPr>
          <w:color w:val="C00000"/>
        </w:rPr>
        <w:t>«ВОПРОС</w:t>
      </w:r>
      <w:r>
        <w:rPr>
          <w:color w:val="C00000"/>
          <w:spacing w:val="-5"/>
        </w:rPr>
        <w:t xml:space="preserve"> </w:t>
      </w:r>
      <w:r>
        <w:rPr>
          <w:color w:val="C00000"/>
        </w:rPr>
        <w:t>–</w:t>
      </w:r>
      <w:r>
        <w:rPr>
          <w:color w:val="C00000"/>
          <w:spacing w:val="-3"/>
        </w:rPr>
        <w:t xml:space="preserve"> </w:t>
      </w:r>
      <w:r>
        <w:rPr>
          <w:color w:val="C00000"/>
          <w:spacing w:val="-2"/>
        </w:rPr>
        <w:t>ОТВЕТ»</w:t>
      </w:r>
    </w:p>
    <w:p>
      <w:pPr>
        <w:pStyle w:val="Style14"/>
        <w:spacing w:before="317" w:after="0"/>
        <w:ind w:left="3922" w:right="393" w:firstLine="708"/>
        <w:rPr/>
      </w:pPr>
      <w:r>
        <w:drawing>
          <wp:anchor behindDoc="0" distT="0" distB="0" distL="0" distR="0" simplePos="0" locked="0" layoutInCell="0" allowOverlap="1" relativeHeight="18">
            <wp:simplePos x="0" y="0"/>
            <wp:positionH relativeFrom="page">
              <wp:posOffset>629285</wp:posOffset>
            </wp:positionH>
            <wp:positionV relativeFrom="paragraph">
              <wp:posOffset>203835</wp:posOffset>
            </wp:positionV>
            <wp:extent cx="2275205" cy="1515110"/>
            <wp:effectExtent l="0" t="0" r="0" b="0"/>
            <wp:wrapNone/>
            <wp:docPr id="11" name="Image 18" descr="Как правильно мыть окна: ТОП-5 ошибок | Эксперт Клинин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8" descr="Как правильно мыть окна: ТОП-5 ошибок | Эксперт Клининг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205" cy="1515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C00000"/>
        </w:rPr>
        <w:t>ВОПРОС:</w:t>
      </w:r>
      <w:r>
        <w:rPr>
          <w:b/>
          <w:color w:val="C00000"/>
          <w:spacing w:val="-18"/>
        </w:rPr>
        <w:t xml:space="preserve"> </w:t>
      </w:r>
      <w:r>
        <w:rPr/>
        <w:t>Как</w:t>
      </w:r>
      <w:r>
        <w:rPr>
          <w:spacing w:val="-9"/>
        </w:rPr>
        <w:t xml:space="preserve"> </w:t>
      </w:r>
      <w:r>
        <w:rPr/>
        <w:t>часто</w:t>
      </w:r>
      <w:r>
        <w:rPr>
          <w:spacing w:val="-8"/>
        </w:rPr>
        <w:t xml:space="preserve"> </w:t>
      </w:r>
      <w:r>
        <w:rPr/>
        <w:t>управляющая</w:t>
      </w:r>
      <w:r>
        <w:rPr>
          <w:spacing w:val="-9"/>
        </w:rPr>
        <w:t xml:space="preserve"> </w:t>
      </w:r>
      <w:r>
        <w:rPr/>
        <w:t xml:space="preserve">компания должна мыть окна в подъезде многоквартирного </w:t>
      </w:r>
      <w:r>
        <w:rPr>
          <w:spacing w:val="-2"/>
        </w:rPr>
        <w:t>дома?</w:t>
      </w:r>
    </w:p>
    <w:p>
      <w:pPr>
        <w:pStyle w:val="Style14"/>
        <w:jc w:val="left"/>
        <w:rPr/>
      </w:pPr>
      <w:r>
        <w:rPr/>
      </w:r>
    </w:p>
    <w:p>
      <w:pPr>
        <w:pStyle w:val="Style14"/>
        <w:tabs>
          <w:tab w:val="clear" w:pos="720"/>
          <w:tab w:val="left" w:pos="6658" w:leader="none"/>
          <w:tab w:val="left" w:pos="9218" w:leader="none"/>
          <w:tab w:val="left" w:pos="9631" w:leader="none"/>
        </w:tabs>
        <w:spacing w:before="1" w:after="0"/>
        <w:ind w:left="3922" w:right="393" w:firstLine="708"/>
        <w:rPr/>
      </w:pPr>
      <w:r>
        <w:rPr>
          <w:b/>
          <w:color w:val="C00000"/>
        </w:rPr>
        <w:t>ОТВЕТ:</w:t>
      </w:r>
      <w:r>
        <w:rPr>
          <w:b/>
          <w:color w:val="C00000"/>
          <w:spacing w:val="40"/>
        </w:rPr>
        <w:t xml:space="preserve"> </w:t>
      </w:r>
      <w:r>
        <w:rPr/>
        <w:t xml:space="preserve">Абз.4 п.23 Минимального перечня услуг и работ, необходимых для обеспечения </w:t>
      </w:r>
      <w:r>
        <w:rPr>
          <w:spacing w:val="-2"/>
        </w:rPr>
        <w:t xml:space="preserve">надлежащего содержания общего </w:t>
      </w:r>
      <w:r>
        <w:rPr/>
        <w:t>имущества</w:t>
      </w:r>
      <w:r>
        <w:rPr>
          <w:spacing w:val="-7"/>
        </w:rPr>
        <w:t xml:space="preserve"> </w:t>
      </w:r>
      <w:r>
        <w:rPr/>
        <w:t>в</w:t>
      </w:r>
      <w:r>
        <w:rPr>
          <w:spacing w:val="-6"/>
        </w:rPr>
        <w:t xml:space="preserve"> </w:t>
      </w:r>
      <w:r>
        <w:rPr/>
        <w:t>многоквартирном</w:t>
      </w:r>
      <w:r>
        <w:rPr>
          <w:spacing w:val="-6"/>
        </w:rPr>
        <w:t xml:space="preserve"> </w:t>
      </w:r>
      <w:r>
        <w:rPr>
          <w:spacing w:val="-2"/>
        </w:rPr>
        <w:t xml:space="preserve">доме, </w:t>
      </w:r>
      <w:r>
        <w:rPr>
          <w:spacing w:val="-4"/>
        </w:rPr>
        <w:t xml:space="preserve">утв. </w:t>
      </w:r>
      <w:hyperlink r:id="rId23">
        <w:r>
          <w:rPr/>
          <w:t>Постановлением</w:t>
        </w:r>
      </w:hyperlink>
      <w:r>
        <w:rPr>
          <w:spacing w:val="40"/>
        </w:rPr>
        <w:t xml:space="preserve"> </w:t>
      </w:r>
      <w:r>
        <w:rPr/>
        <w:t>Правительства РФ от 3 апреля 2013 г. N</w:t>
      </w:r>
      <w:r>
        <w:rPr>
          <w:spacing w:val="-5"/>
        </w:rPr>
        <w:t xml:space="preserve"> </w:t>
      </w:r>
      <w:r>
        <w:rPr/>
        <w:t>290, содержит, в том числе, и мытье окон.</w:t>
      </w:r>
    </w:p>
    <w:p>
      <w:pPr>
        <w:pStyle w:val="Style14"/>
        <w:ind w:left="114" w:right="392" w:firstLine="708"/>
        <w:rPr/>
      </w:pPr>
      <w:r>
        <w:rPr/>
        <w:t xml:space="preserve">В соответствии с </w:t>
      </w:r>
      <w:hyperlink r:id="rId24">
        <w:r>
          <w:rPr/>
          <w:t>абз. 2 п. 4.7.4</w:t>
        </w:r>
      </w:hyperlink>
      <w:r>
        <w:rPr/>
        <w:t xml:space="preserve"> Правил и норм технической эксплуатации жилищного фонда МДК 2-03.2003, утв.</w:t>
      </w:r>
      <w:r>
        <w:rPr>
          <w:spacing w:val="-1"/>
        </w:rPr>
        <w:t xml:space="preserve"> </w:t>
      </w:r>
      <w:hyperlink r:id="rId25">
        <w:r>
          <w:rPr/>
          <w:t>постановлением</w:t>
        </w:r>
      </w:hyperlink>
      <w:r>
        <w:rPr>
          <w:spacing w:val="-1"/>
        </w:rPr>
        <w:t xml:space="preserve"> </w:t>
      </w:r>
      <w:r>
        <w:rPr/>
        <w:t>Госстроя РФ от 27 сентября</w:t>
      </w:r>
      <w:r>
        <w:rPr>
          <w:spacing w:val="-2"/>
        </w:rPr>
        <w:t xml:space="preserve"> </w:t>
      </w:r>
      <w:r>
        <w:rPr/>
        <w:t>2003 г.</w:t>
      </w:r>
      <w:r>
        <w:rPr>
          <w:spacing w:val="-1"/>
        </w:rPr>
        <w:t xml:space="preserve"> </w:t>
      </w:r>
      <w:r>
        <w:rPr/>
        <w:t>N</w:t>
      </w:r>
      <w:r>
        <w:rPr>
          <w:spacing w:val="-2"/>
        </w:rPr>
        <w:t xml:space="preserve"> </w:t>
      </w:r>
      <w:r>
        <w:rPr/>
        <w:t>170,</w:t>
      </w:r>
      <w:r>
        <w:rPr>
          <w:spacing w:val="40"/>
        </w:rPr>
        <w:t xml:space="preserve"> </w:t>
      </w:r>
      <w:r>
        <w:rPr/>
        <w:t>мытье</w:t>
      </w:r>
      <w:r>
        <w:rPr>
          <w:spacing w:val="-1"/>
        </w:rPr>
        <w:t xml:space="preserve"> </w:t>
      </w:r>
      <w:r>
        <w:rPr/>
        <w:t>окон должно осуществляться</w:t>
      </w:r>
      <w:r>
        <w:rPr>
          <w:spacing w:val="-3"/>
        </w:rPr>
        <w:t xml:space="preserve"> </w:t>
      </w:r>
      <w:r>
        <w:rPr/>
        <w:t>дважды в</w:t>
      </w:r>
      <w:r>
        <w:rPr>
          <w:spacing w:val="-1"/>
        </w:rPr>
        <w:t xml:space="preserve"> </w:t>
      </w:r>
      <w:r>
        <w:rPr/>
        <w:t>год - весной (после отключения систем отопления) и осенью (до начала отопительного сезона)</w:t>
      </w:r>
      <w:r>
        <w:rPr>
          <w:spacing w:val="40"/>
        </w:rPr>
        <w:t xml:space="preserve"> </w:t>
      </w:r>
      <w:r>
        <w:rPr/>
        <w:t>с применением химсредств снаружи и внутри. При этом при мытье (очистке) окон не допускается механическое воздействие на элементы окна абразивных моющих средств для исключения появления царапин на их поверхности (</w:t>
      </w:r>
      <w:hyperlink r:id="rId26">
        <w:r>
          <w:rPr/>
          <w:t>п. 11.8</w:t>
        </w:r>
      </w:hyperlink>
      <w:r>
        <w:rPr>
          <w:spacing w:val="40"/>
        </w:rPr>
        <w:t xml:space="preserve"> </w:t>
      </w:r>
      <w:r>
        <w:rPr/>
        <w:t>Свода правил СП</w:t>
      </w:r>
      <w:r>
        <w:rPr>
          <w:spacing w:val="-2"/>
        </w:rPr>
        <w:t xml:space="preserve"> </w:t>
      </w:r>
      <w:r>
        <w:rPr/>
        <w:t xml:space="preserve">255.1325800.2016 "Здания и сооружения. Правила эксплуатации. Основные положения", утв. </w:t>
      </w:r>
      <w:hyperlink r:id="rId27">
        <w:r>
          <w:rPr/>
          <w:t>приказом</w:t>
        </w:r>
      </w:hyperlink>
      <w:r>
        <w:rPr>
          <w:spacing w:val="-4"/>
        </w:rPr>
        <w:t xml:space="preserve"> </w:t>
      </w:r>
      <w:r>
        <w:rPr/>
        <w:t>Министерства строительства и жилищно- коммунального хозяйства РФ от 24 августа 2016 г. N 590/пр.)</w:t>
      </w:r>
    </w:p>
    <w:p>
      <w:pPr>
        <w:pStyle w:val="Style14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Style14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Style14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Style14"/>
        <w:spacing w:before="2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Style14"/>
        <w:spacing w:before="2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Style14"/>
        <w:spacing w:before="2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Style14"/>
        <w:spacing w:before="2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Style14"/>
        <w:spacing w:before="2" w:after="0"/>
        <w:jc w:val="left"/>
        <w:rPr>
          <w:rFonts w:ascii="Arial" w:hAnsi="Arial"/>
          <w:sz w:val="20"/>
        </w:rPr>
      </w:pPr>
      <w:r>
        <w:rPr>
          <w:rFonts w:ascii="Arial" w:hAnsi="Arial"/>
          <w:sz w:val="20"/>
        </w:rPr>
      </w:r>
    </w:p>
    <w:p>
      <w:pPr>
        <w:pStyle w:val="Style14"/>
        <w:spacing w:before="57" w:after="57"/>
        <w:ind w:left="0" w:right="0" w:hanging="0"/>
        <w:contextualSpacing/>
        <w:jc w:val="center"/>
        <w:rPr>
          <w:b/>
          <w:spacing w:val="-2"/>
        </w:rPr>
      </w:pPr>
      <w:r>
        <w:rPr>
          <w:sz w:val="22"/>
          <w:szCs w:val="22"/>
        </w:rPr>
      </w:r>
    </w:p>
    <w:sectPr>
      <w:footerReference w:type="default" r:id="rId28"/>
      <w:footerReference w:type="first" r:id="rId29"/>
      <w:type w:val="nextPage"/>
      <w:pgSz w:w="11906" w:h="16838"/>
      <w:pgMar w:left="850" w:right="566" w:gutter="0" w:header="0" w:top="880" w:footer="388" w:bottom="5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7"/>
      <w:jc w:val="left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14">
          <wp:simplePos x="0" y="0"/>
          <wp:positionH relativeFrom="page">
            <wp:posOffset>6329045</wp:posOffset>
          </wp:positionH>
          <wp:positionV relativeFrom="page">
            <wp:posOffset>10375265</wp:posOffset>
          </wp:positionV>
          <wp:extent cx="963295" cy="212725"/>
          <wp:effectExtent l="0" t="0" r="0" b="0"/>
          <wp:wrapNone/>
          <wp:docPr id="2" name="Image 12 Копия 1 Копия 2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12 Копия 1 Копия 2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63295" cy="2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7"/>
      <w:jc w:val="left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3">
          <wp:simplePos x="0" y="0"/>
          <wp:positionH relativeFrom="page">
            <wp:posOffset>6329045</wp:posOffset>
          </wp:positionH>
          <wp:positionV relativeFrom="page">
            <wp:posOffset>10375265</wp:posOffset>
          </wp:positionV>
          <wp:extent cx="963295" cy="212725"/>
          <wp:effectExtent l="0" t="0" r="0" b="0"/>
          <wp:wrapNone/>
          <wp:docPr id="4" name="Image 12 Копия 1 Копия 1 Копия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 12 Копия 1 Копия 1 Копия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63295" cy="2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5080" distB="3810" distL="5715" distR="4445" simplePos="0" locked="0" layoutInCell="0" allowOverlap="1" relativeHeight="7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945" cy="1270"/>
              <wp:effectExtent l="5715" t="5080" r="4445" b="3810"/>
              <wp:wrapNone/>
              <wp:docPr id="5" name="Graphic 3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1080" cy="1440"/>
                      </a:xfrm>
                      <a:custGeom>
                        <a:avLst/>
                        <a:gdLst>
                          <a:gd name="textAreaLeft" fmla="*/ 0 w 4286520"/>
                          <a:gd name="textAreaRight" fmla="*/ 4287600 w 4286520"/>
                          <a:gd name="textAreaTop" fmla="*/ 0 h 720"/>
                          <a:gd name="textAreaBottom" fmla="*/ 2160 h 720"/>
                        </a:gdLst>
                        <a:ahLst/>
                        <a:rect l="textAreaLeft" t="textAreaTop" r="textAreaRight" b="textAreaBottom"/>
                        <a:pathLst>
                          <a:path w="7560945" h="0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noFill/>
                      <a:ln w="10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4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7"/>
      <w:jc w:val="left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4">
          <wp:simplePos x="0" y="0"/>
          <wp:positionH relativeFrom="page">
            <wp:posOffset>6329045</wp:posOffset>
          </wp:positionH>
          <wp:positionV relativeFrom="page">
            <wp:posOffset>10375265</wp:posOffset>
          </wp:positionV>
          <wp:extent cx="963295" cy="212725"/>
          <wp:effectExtent l="0" t="0" r="0" b="0"/>
          <wp:wrapNone/>
          <wp:docPr id="6" name="Image 12 Копия 1 Копия 1 Копия 1 Копия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12 Копия 1 Копия 1 Копия 1 Копия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63295" cy="2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5080" distB="3810" distL="5715" distR="4445" simplePos="0" locked="0" layoutInCell="0" allowOverlap="1" relativeHeight="9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945" cy="1270"/>
              <wp:effectExtent l="5715" t="5080" r="4445" b="3810"/>
              <wp:wrapNone/>
              <wp:docPr id="7" name="Graphic 5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1080" cy="1440"/>
                      </a:xfrm>
                      <a:custGeom>
                        <a:avLst/>
                        <a:gdLst>
                          <a:gd name="textAreaLeft" fmla="*/ 0 w 4286520"/>
                          <a:gd name="textAreaRight" fmla="*/ 4287600 w 4286520"/>
                          <a:gd name="textAreaTop" fmla="*/ 0 h 720"/>
                          <a:gd name="textAreaBottom" fmla="*/ 2160 h 720"/>
                        </a:gdLst>
                        <a:ahLst/>
                        <a:rect l="textAreaLeft" t="textAreaTop" r="textAreaRight" b="textAreaBottom"/>
                        <a:pathLst>
                          <a:path w="7560945" h="0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noFill/>
                      <a:ln w="10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5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6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7"/>
      <w:jc w:val="left"/>
      <w:rPr>
        <w:sz w:val="20"/>
      </w:rPr>
    </w:pPr>
    <w:r>
      <w:rPr>
        <w:sz w:val="20"/>
      </w:rPr>
      <w:drawing>
        <wp:anchor behindDoc="1" distT="0" distB="0" distL="0" distR="0" simplePos="0" locked="0" layoutInCell="0" allowOverlap="1" relativeHeight="6">
          <wp:simplePos x="0" y="0"/>
          <wp:positionH relativeFrom="page">
            <wp:posOffset>6329045</wp:posOffset>
          </wp:positionH>
          <wp:positionV relativeFrom="page">
            <wp:posOffset>10375265</wp:posOffset>
          </wp:positionV>
          <wp:extent cx="963295" cy="212725"/>
          <wp:effectExtent l="0" t="0" r="0" b="0"/>
          <wp:wrapNone/>
          <wp:docPr id="9" name="Image 12 Копия 1 Копия 1 Копия 1 Копия 1 Копия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 12 Копия 1 Копия 1 Копия 1 Копия 1 Копия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63295" cy="2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5080" distB="3810" distL="5715" distR="4445" simplePos="0" locked="0" layoutInCell="0" allowOverlap="1" relativeHeight="10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945" cy="1270"/>
              <wp:effectExtent l="5715" t="5080" r="4445" b="3810"/>
              <wp:wrapNone/>
              <wp:docPr id="10" name="Graphic 6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1080" cy="1440"/>
                      </a:xfrm>
                      <a:custGeom>
                        <a:avLst/>
                        <a:gdLst>
                          <a:gd name="textAreaLeft" fmla="*/ 0 w 4286520"/>
                          <a:gd name="textAreaRight" fmla="*/ 4287600 w 4286520"/>
                          <a:gd name="textAreaTop" fmla="*/ 0 h 720"/>
                          <a:gd name="textAreaBottom" fmla="*/ 2160 h 720"/>
                        </a:gdLst>
                        <a:ahLst/>
                        <a:rect l="textAreaLeft" t="textAreaTop" r="textAreaRight" b="textAreaBottom"/>
                        <a:pathLst>
                          <a:path w="7560945" h="0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noFill/>
                      <a:ln w="10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7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footer8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14"/>
      <w:spacing w:lineRule="auto" w:line="7"/>
      <w:jc w:val="left"/>
      <w:rPr>
        <w:sz w:val="20"/>
      </w:rPr>
    </w:pPr>
    <w:r>
      <w:rPr>
        <w:sz w:val="20"/>
      </w:rPr>
      <w:drawing>
        <wp:anchor behindDoc="1" distT="0" distB="0" distL="0" distR="0" simplePos="0" locked="0" layoutInCell="1" allowOverlap="1" relativeHeight="8">
          <wp:simplePos x="0" y="0"/>
          <wp:positionH relativeFrom="column">
            <wp:posOffset>5827395</wp:posOffset>
          </wp:positionH>
          <wp:positionV relativeFrom="paragraph">
            <wp:posOffset>-34290</wp:posOffset>
          </wp:positionV>
          <wp:extent cx="963295" cy="212725"/>
          <wp:effectExtent l="0" t="0" r="0" b="0"/>
          <wp:wrapNone/>
          <wp:docPr id="12" name="Image 12 Копия 1 Копия 1 Копия 1 Копия 1 Копия 1 Копия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12 Копия 1 Копия 1 Копия 1 Копия 1 Копия 1 Копия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63295" cy="212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  <mc:AlternateContent>
        <mc:Choice Requires="wps">
          <w:drawing>
            <wp:anchor behindDoc="1" distT="5080" distB="3810" distL="5715" distR="4445" simplePos="0" locked="0" layoutInCell="0" allowOverlap="1" relativeHeight="11">
              <wp:simplePos x="0" y="0"/>
              <wp:positionH relativeFrom="page">
                <wp:posOffset>0</wp:posOffset>
              </wp:positionH>
              <wp:positionV relativeFrom="page">
                <wp:posOffset>10273030</wp:posOffset>
              </wp:positionV>
              <wp:extent cx="7560945" cy="1270"/>
              <wp:effectExtent l="5715" t="5080" r="4445" b="3810"/>
              <wp:wrapNone/>
              <wp:docPr id="13" name="Graphic 8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1080" cy="1440"/>
                      </a:xfrm>
                      <a:custGeom>
                        <a:avLst/>
                        <a:gdLst>
                          <a:gd name="textAreaLeft" fmla="*/ 0 w 4286520"/>
                          <a:gd name="textAreaRight" fmla="*/ 4287600 w 4286520"/>
                          <a:gd name="textAreaTop" fmla="*/ 0 h 720"/>
                          <a:gd name="textAreaBottom" fmla="*/ 2160 h 720"/>
                        </a:gdLst>
                        <a:ahLst/>
                        <a:rect l="textAreaLeft" t="textAreaTop" r="textAreaRight" b="textAreaBottom"/>
                        <a:pathLst>
                          <a:path w="7560945" h="0">
                            <a:moveTo>
                              <a:pt x="0" y="0"/>
                            </a:moveTo>
                            <a:lnTo>
                              <a:pt x="7560564" y="0"/>
                            </a:lnTo>
                          </a:path>
                        </a:pathLst>
                      </a:custGeom>
                      <a:noFill/>
                      <a:ln w="10160">
                        <a:solidFill>
                          <a:srgbClr val="000000"/>
                        </a:solidFill>
                        <a:round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bodyPr/>
                  </wps:wsp>
                </a:graphicData>
              </a:graphic>
            </wp:anchor>
          </w:drawing>
        </mc:Choice>
        <mc:Fallback>
          <w:pict/>
        </mc:Fallback>
      </mc:AlternateContent>
    </w:r>
  </w:p>
</w:ftr>
</file>

<file path=word/footer9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/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numPicBullet w:numPicBulletId="0">
    <w:pict>
      <v:shape style="width:9.7pt;height:9.7pt" o:bullet="t">
        <v:imagedata r:id="rId1" o:title=""/>
      </v:shape>
    </w:pict>
  </w:numPicBullet>
  <w:abstractNum w:abstractNumId="1">
    <w:lvl w:ilvl="0">
      <w:numFmt w:val="bullet"/>
      <w:lvlText w:val="-"/>
      <w:lvlJc w:val="left"/>
      <w:pPr>
        <w:tabs>
          <w:tab w:val="num" w:pos="0"/>
        </w:tabs>
        <w:ind w:left="114" w:hanging="279"/>
      </w:pPr>
      <w:rPr>
        <w:rFonts w:ascii="Times New Roman" w:hAnsi="Times New Roman" w:cs="Times New Roman" w:hint="default"/>
        <w:sz w:val="28"/>
        <w:spacing w:val="0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57" w:hanging="279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94" w:hanging="279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231" w:hanging="279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268" w:hanging="279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305" w:hanging="279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342" w:hanging="279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379" w:hanging="279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416" w:hanging="279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numFmt w:val="bullet"/>
      <w:lvlText w:val="•"/>
      <w:lvlPicBulletId w:val="0"/>
      <w:lvlJc w:val="left"/>
      <w:pPr>
        <w:tabs>
          <w:tab w:val="num" w:pos="0"/>
        </w:tabs>
        <w:ind w:left="777" w:hanging="361"/>
      </w:pPr>
      <w:rPr>
        <w:rFonts w:ascii="Times New Roman" w:hAnsi="Times New Roman" w:cs="Times New Roman" w:hint="default"/>
        <w:sz w:val="28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751" w:hanging="36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722" w:hanging="36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693" w:hanging="36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664" w:hanging="36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35" w:hanging="36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606" w:hanging="36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577" w:hanging="36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548" w:hanging="361"/>
      </w:pPr>
      <w:rPr>
        <w:rFonts w:ascii="Symbol" w:hAnsi="Symbol" w:cs="Symbol" w:hint="default"/>
        <w:lang w:val="ru-RU" w:eastAsia="en-US" w:bidi="ar-SA"/>
      </w:rPr>
    </w:lvl>
  </w:abstractNum>
  <w:abstractNum w:abstractNumId="3">
    <w:lvl w:ilvl="0">
      <w:numFmt w:val="bullet"/>
      <w:lvlText w:val="•"/>
      <w:lvlPicBulletId w:val="0"/>
      <w:lvlJc w:val="left"/>
      <w:pPr>
        <w:tabs>
          <w:tab w:val="num" w:pos="0"/>
        </w:tabs>
        <w:ind w:left="1723" w:hanging="361"/>
      </w:pPr>
      <w:rPr>
        <w:rFonts w:ascii="Times New Roman" w:hAnsi="Times New Roman" w:cs="Times New Roman" w:hint="default"/>
        <w:sz w:val="28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1">
      <w:start w:val="0"/>
      <w:numFmt w:val="bullet"/>
      <w:lvlText w:val="◦"/>
      <w:lvlPicBulletId w:val="0"/>
      <w:lvlJc w:val="left"/>
      <w:pPr>
        <w:tabs>
          <w:tab w:val="num" w:pos="0"/>
        </w:tabs>
        <w:ind w:left="1855" w:hanging="361"/>
      </w:pPr>
      <w:rPr>
        <w:rFonts w:ascii="Times New Roman" w:hAnsi="Times New Roman" w:cs="Times New Roman" w:hint="default"/>
        <w:sz w:val="28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818" w:hanging="36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777" w:hanging="36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736" w:hanging="36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95" w:hanging="36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654" w:hanging="36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613" w:hanging="36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572" w:hanging="361"/>
      </w:pPr>
      <w:rPr>
        <w:rFonts w:ascii="Symbol" w:hAnsi="Symbol" w:cs="Symbol" w:hint="default"/>
        <w:lang w:val="ru-RU" w:eastAsia="en-US" w:bidi="ar-SA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uiPriority w:val="1"/>
    <w:qFormat/>
    <w:pPr>
      <w:ind w:left="0" w:right="283" w:hanging="0"/>
      <w:jc w:val="center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-">
    <w:name w:val="Hyperlink"/>
    <w:rPr>
      <w:color w:val="000080"/>
      <w:u w:val="single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uiPriority w:val="1"/>
    <w:qFormat/>
    <w:pPr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pPr>
      <w:ind w:left="777" w:right="0" w:hanging="361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TableParagraph">
    <w:name w:val="Table Paragraph"/>
    <w:basedOn w:val="Normal"/>
    <w:uiPriority w:val="1"/>
    <w:qFormat/>
    <w:pPr>
      <w:jc w:val="center"/>
    </w:pPr>
    <w:rPr>
      <w:rFonts w:ascii="Times New Roman" w:hAnsi="Times New Roman" w:eastAsia="Times New Roman" w:cs="Times New Roman"/>
      <w:lang w:val="ru-RU" w:eastAsia="en-US" w:bidi="ar-SA"/>
    </w:rPr>
  </w:style>
  <w:style w:type="paragraph" w:styleId="Style18">
    <w:name w:val="Колонтитул"/>
    <w:basedOn w:val="Normal"/>
    <w:qFormat/>
    <w:pPr/>
    <w:rPr/>
  </w:style>
  <w:style w:type="paragraph" w:styleId="Style19">
    <w:name w:val="Footer"/>
    <w:basedOn w:val="Style18"/>
    <w:pPr/>
    <w:rPr/>
  </w:style>
  <w:style w:type="paragraph" w:styleId="Style20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s://internet.garant.ru/%23/document/12138291/entry/5" TargetMode="External"/><Relationship Id="rId4" Type="http://schemas.openxmlformats.org/officeDocument/2006/relationships/footer" Target="footer1.xml"/><Relationship Id="rId5" Type="http://schemas.openxmlformats.org/officeDocument/2006/relationships/image" Target="media/image3.jpeg"/><Relationship Id="rId6" Type="http://schemas.openxmlformats.org/officeDocument/2006/relationships/hyperlink" Target="https://internet.garant.ru/%23/document/12186043/entry/150" TargetMode="External"/><Relationship Id="rId7" Type="http://schemas.openxmlformats.org/officeDocument/2006/relationships/hyperlink" Target="https://internet.garant.ru/%23/document/12186043/entry/0" TargetMode="External"/><Relationship Id="rId8" Type="http://schemas.openxmlformats.org/officeDocument/2006/relationships/hyperlink" Target="https://internet.garant.ru/%23/document/12186043/entry/157" TargetMode="External"/><Relationship Id="rId9" Type="http://schemas.openxmlformats.org/officeDocument/2006/relationships/hyperlink" Target="https://internet.garant.ru/%23/document/12186043/entry/10000" TargetMode="External"/><Relationship Id="rId10" Type="http://schemas.openxmlformats.org/officeDocument/2006/relationships/footer" Target="footer2.xml"/><Relationship Id="rId11" Type="http://schemas.openxmlformats.org/officeDocument/2006/relationships/footer" Target="footer3.xml"/><Relationship Id="rId12" Type="http://schemas.openxmlformats.org/officeDocument/2006/relationships/hyperlink" Target="https://internet.garant.ru/%23/document/10106035/entry/0" TargetMode="External"/><Relationship Id="rId13" Type="http://schemas.openxmlformats.org/officeDocument/2006/relationships/hyperlink" Target="https://internet.garant.ru/%23/document/12186043/entry/154" TargetMode="External"/><Relationship Id="rId14" Type="http://schemas.openxmlformats.org/officeDocument/2006/relationships/hyperlink" Target="https://internet.garant.ru/%23/document/12125267/entry/723" TargetMode="External"/><Relationship Id="rId15" Type="http://schemas.openxmlformats.org/officeDocument/2006/relationships/hyperlink" Target="https://internet.garant.ru/%23/document/10108000/entry/2151" TargetMode="External"/><Relationship Id="rId16" Type="http://schemas.openxmlformats.org/officeDocument/2006/relationships/footer" Target="footer4.xml"/><Relationship Id="rId17" Type="http://schemas.openxmlformats.org/officeDocument/2006/relationships/footer" Target="footer5.xml"/><Relationship Id="rId18" Type="http://schemas.openxmlformats.org/officeDocument/2006/relationships/image" Target="media/image4.jpeg"/><Relationship Id="rId19" Type="http://schemas.openxmlformats.org/officeDocument/2006/relationships/hyperlink" Target="https://internet.garant.ru/%23/document/70354682/entry/0" TargetMode="External"/><Relationship Id="rId20" Type="http://schemas.openxmlformats.org/officeDocument/2006/relationships/footer" Target="footer6.xml"/><Relationship Id="rId21" Type="http://schemas.openxmlformats.org/officeDocument/2006/relationships/footer" Target="footer7.xml"/><Relationship Id="rId22" Type="http://schemas.openxmlformats.org/officeDocument/2006/relationships/image" Target="media/image5.jpeg"/><Relationship Id="rId23" Type="http://schemas.openxmlformats.org/officeDocument/2006/relationships/hyperlink" Target="https://internet.garant.ru/%23/document/70354682/entry/0" TargetMode="External"/><Relationship Id="rId24" Type="http://schemas.openxmlformats.org/officeDocument/2006/relationships/hyperlink" Target="https://internet.garant.ru/%23/document/12132859/entry/104742" TargetMode="External"/><Relationship Id="rId25" Type="http://schemas.openxmlformats.org/officeDocument/2006/relationships/hyperlink" Target="https://internet.garant.ru/%23/document/12132859/entry/0" TargetMode="External"/><Relationship Id="rId26" Type="http://schemas.openxmlformats.org/officeDocument/2006/relationships/hyperlink" Target="https://internet.garant.ru/%23/document/71502776/entry/118" TargetMode="External"/><Relationship Id="rId27" Type="http://schemas.openxmlformats.org/officeDocument/2006/relationships/hyperlink" Target="https://internet.garant.ru/%23/document/71496232/entry/0" TargetMode="External"/><Relationship Id="rId28" Type="http://schemas.openxmlformats.org/officeDocument/2006/relationships/footer" Target="footer8.xml"/><Relationship Id="rId29" Type="http://schemas.openxmlformats.org/officeDocument/2006/relationships/footer" Target="footer9.xml"/><Relationship Id="rId30" Type="http://schemas.openxmlformats.org/officeDocument/2006/relationships/numbering" Target="numbering.xml"/><Relationship Id="rId31" Type="http://schemas.openxmlformats.org/officeDocument/2006/relationships/fontTable" Target="fontTable.xml"/><Relationship Id="rId32" Type="http://schemas.openxmlformats.org/officeDocument/2006/relationships/settings" Target="settings.xml"/><Relationship Id="rId33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footer2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footer4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footer6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footer8.xml.rels><?xml version="1.0" encoding="UTF-8"?>
<Relationships xmlns="http://schemas.openxmlformats.org/package/2006/relationships"><Relationship Id="rId1" Type="http://schemas.openxmlformats.org/officeDocument/2006/relationships/image" Target="media/image2.png"/>
</Relationships>
</file>

<file path=word/_rels/numbering.xml.rels><?xml version="1.0" encoding="UTF-8"?>
<Relationships xmlns="http://schemas.openxmlformats.org/package/2006/relationships"><Relationship Id="rId1" Type="http://schemas.openxmlformats.org/officeDocument/2006/relationships/image" Target="media/image6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LibreOffice/7.5.6.2$Linux_X86_64 LibreOffice_project/50$Build-2</Application>
  <AppVersion>15.0000</AppVersion>
  <Pages>7</Pages>
  <Words>1879</Words>
  <Characters>12739</Characters>
  <CharactersWithSpaces>14574</CharactersWithSpaces>
  <Paragraphs>63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2025-10-13T05:36:06Z</dcterms:created>
  <dc:creator/>
  <dc:description/>
  <dc:language>ru-RU</dc:language>
  <cp:lastModifiedBy/>
  <dcterms:modified xsi:type="dcterms:W3CDTF">2025-10-13T09:35:18Z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LastSaved">
    <vt:filetime>2025-10-13T00:00:00Z</vt:filetime>
  </property>
  <property fmtid="{D5CDD505-2E9C-101B-9397-08002B2CF9AE}" pid="4" name="Producer">
    <vt:lpwstr>3-Heights(TM) PDF Security Shell 4.8.25.2 (http://www.pdf-tools.com)</vt:lpwstr>
  </property>
</Properties>
</file>