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before="0"/>
        <w:ind w:firstLine="567" w:left="0" w:right="0"/>
        <w:jc w:val="both"/>
        <w:rPr>
          <w:b w:val="1"/>
          <w:sz w:val="28"/>
        </w:rPr>
      </w:pPr>
      <w:r>
        <w:rPr>
          <w:b w:val="1"/>
          <w:sz w:val="28"/>
        </w:rPr>
        <w:t>ИНФОРМАЦИЯ № 1</w:t>
      </w:r>
    </w:p>
    <w:p w14:paraId="08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09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1"/>
          <w:sz w:val="28"/>
        </w:rPr>
        <w:t>Казанская межрайонная природоохранная прокуратура разъясняет,</w:t>
      </w:r>
      <w:r>
        <w:rPr>
          <w:sz w:val="28"/>
        </w:rPr>
        <w:t xml:space="preserve"> что Минприроды России 15.06.2026 утвержден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Перечень нормативных правовых актов, содержащих обязательные требования, оценка соблюдения которых осуществляется в рамках федерального государственного охотничьего контроля (надзора).</w:t>
      </w:r>
    </w:p>
    <w:p w14:paraId="0A000000">
      <w:pPr>
        <w:widowControl w:val="1"/>
        <w:spacing w:after="0" w:before="0"/>
        <w:ind w:firstLine="567" w:left="0" w:right="0"/>
        <w:jc w:val="both"/>
        <w:rPr>
          <w:sz w:val="28"/>
        </w:rPr>
      </w:pPr>
      <w:r>
        <w:rPr>
          <w:sz w:val="28"/>
        </w:rPr>
        <w:t> </w:t>
      </w:r>
      <w:r>
        <w:rPr>
          <w:b w:val="0"/>
          <w:sz w:val="28"/>
        </w:rPr>
        <w:t>В перечне приведены в числе прочего гиперссылка на текст нормативного правового акта на официальном интернет-портале правовой информации (www.pravo.gov.ru), реквизиты структурных единиц нормативного правового акта, содержащих обязательные требования, виды экономической деятельности лиц, обязанных соблюдать установленные нормативным правовым актом обязательные требования, в соответствии с ОКВЭД, 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требования.</w:t>
      </w:r>
    </w:p>
    <w:p w14:paraId="0B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0C000000">
      <w:pPr>
        <w:widowControl w:val="1"/>
        <w:spacing w:after="0" w:before="0"/>
        <w:ind w:firstLine="567" w:left="0" w:right="0"/>
        <w:jc w:val="both"/>
        <w:rPr>
          <w:b w:val="1"/>
          <w:sz w:val="28"/>
        </w:rPr>
      </w:pPr>
      <w:r>
        <w:rPr>
          <w:b w:val="1"/>
          <w:sz w:val="28"/>
        </w:rPr>
        <w:t>ИНФОРМАЦИЯ № 2</w:t>
      </w:r>
    </w:p>
    <w:p w14:paraId="0D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0E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1"/>
          <w:sz w:val="28"/>
        </w:rPr>
        <w:t>Казанская межрайонная природоохранная прокуратура разъясняет,</w:t>
      </w:r>
      <w:r>
        <w:rPr>
          <w:sz w:val="28"/>
        </w:rPr>
        <w:t xml:space="preserve"> что </w:t>
      </w:r>
      <w:r>
        <w:rPr>
          <w:sz w:val="28"/>
        </w:rPr>
        <w:t>Рослесхозом 05.02.2026 утвержден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Перечень нормативных правовых актов, содержащих обязательные требования, оценка соблюдения которых осуществляется Рослесхозом при реализации федерального государственного контроля (надзора) в сфере транспортировки, хранения древесины, производства продукции переработки древесины и учета сделок с ними.</w:t>
      </w:r>
      <w:r>
        <w:rPr>
          <w:b w:val="1"/>
          <w:sz w:val="28"/>
        </w:rPr>
        <w:t xml:space="preserve"> </w:t>
      </w:r>
    </w:p>
    <w:p w14:paraId="0F000000">
      <w:pPr>
        <w:widowControl w:val="1"/>
        <w:spacing w:after="0" w:before="0"/>
        <w:ind w:firstLine="567" w:left="0" w:right="0"/>
        <w:jc w:val="both"/>
        <w:rPr>
          <w:sz w:val="28"/>
        </w:rPr>
      </w:pPr>
      <w:r>
        <w:rPr>
          <w:sz w:val="28"/>
        </w:rPr>
        <w:t> </w:t>
      </w:r>
      <w:r>
        <w:rPr>
          <w:b w:val="0"/>
          <w:sz w:val="28"/>
        </w:rPr>
        <w:t>В перечне приведены в числе прочего гиперссылка на текст нормативного правового акта на официальном интернет-портале правовой информации (www.pravo.gov.ru), реквизиты структурных единиц нормативного правового акта, содержащих обязательные требования, виды экономической деятельности лиц, обязанных соблюдать установленные нормативным правовым актом обязательные требования, в соответствии с ОКВЭД, 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требования.</w:t>
      </w:r>
    </w:p>
    <w:p w14:paraId="10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11000000">
      <w:pPr>
        <w:widowControl w:val="1"/>
        <w:spacing w:after="0" w:before="0"/>
        <w:ind w:firstLine="567" w:left="0" w:right="0"/>
        <w:jc w:val="both"/>
        <w:rPr>
          <w:b w:val="1"/>
          <w:sz w:val="28"/>
        </w:rPr>
      </w:pPr>
      <w:r>
        <w:rPr>
          <w:b w:val="1"/>
          <w:sz w:val="28"/>
        </w:rPr>
        <w:t>ИНФОРМАЦИЯ № 3</w:t>
      </w:r>
    </w:p>
    <w:p w14:paraId="12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13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1"/>
          <w:sz w:val="28"/>
        </w:rPr>
        <w:t xml:space="preserve">Казанская межрайонная природоохранная прокуратура разъясняет, </w:t>
      </w:r>
      <w:r>
        <w:rPr>
          <w:b w:val="0"/>
          <w:sz w:val="28"/>
        </w:rPr>
        <w:t>что</w:t>
      </w:r>
      <w:r>
        <w:rPr>
          <w:b w:val="1"/>
          <w:sz w:val="28"/>
        </w:rPr>
        <w:t xml:space="preserve"> </w:t>
      </w:r>
      <w:r>
        <w:rPr>
          <w:strike w:val="0"/>
          <w:color w:val="000000"/>
          <w:sz w:val="28"/>
          <w:u w:color="000000" w:val="none"/>
        </w:rPr>
        <w:t>постановлением</w:t>
      </w:r>
      <w:r>
        <w:rPr>
          <w:sz w:val="28"/>
        </w:rPr>
        <w:t xml:space="preserve"> </w:t>
      </w:r>
      <w:r>
        <w:rPr>
          <w:sz w:val="28"/>
        </w:rPr>
        <w:t xml:space="preserve">Правительства РФ от 10.06.2026 № 722 </w:t>
      </w:r>
      <w:r>
        <w:rPr>
          <w:b w:val="0"/>
          <w:sz w:val="28"/>
        </w:rPr>
        <w:t>д</w:t>
      </w:r>
      <w:r>
        <w:rPr>
          <w:b w:val="0"/>
          <w:sz w:val="28"/>
        </w:rPr>
        <w:t>о 1 сентября 2032 года продлен срок действия постановления Правительства РФ от 20.11.2020 № 1892 «О декларировании безопасности гидротехнических сооружений».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 xml:space="preserve">Срок действия постановления истекал 1 января 2027 г. </w:t>
      </w:r>
    </w:p>
    <w:p w14:paraId="14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>Основным документом, содержащим сведения о соответствии гидротехнического сооружения критериям безопасности, является декларация безопасности гидротехнического сооружения, которая при проектировании такого сооружения составляется в составе проектной документации.</w:t>
      </w:r>
      <w:r>
        <w:rPr>
          <w:sz w:val="28"/>
        </w:rPr>
        <w:br/>
      </w:r>
      <w:r>
        <w:rPr>
          <w:b w:val="0"/>
          <w:sz w:val="28"/>
        </w:rPr>
        <w:t>Настоящим правовым актом установлены содержание декларации безопасности гидротехнического сооружения, порядок ее разработки и представления в уполномоченные федеральные органы исполнительной власти.</w:t>
      </w:r>
    </w:p>
    <w:p w14:paraId="15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16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1"/>
          <w:sz w:val="28"/>
        </w:rPr>
        <w:t>ИНФОРМАЦИЯ № 4</w:t>
      </w:r>
    </w:p>
    <w:p w14:paraId="17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18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1"/>
          <w:sz w:val="28"/>
        </w:rPr>
        <w:t xml:space="preserve">Казанская межрайонная природоохранная прокуратура разъясняет, </w:t>
      </w:r>
      <w:r>
        <w:rPr>
          <w:b w:val="0"/>
          <w:sz w:val="28"/>
        </w:rPr>
        <w:t xml:space="preserve">что </w:t>
      </w:r>
      <w:r>
        <w:rPr>
          <w:b w:val="0"/>
          <w:strike w:val="0"/>
          <w:color w:val="000000"/>
          <w:sz w:val="28"/>
          <w:u w:color="000000" w:val="none"/>
        </w:rPr>
        <w:t>п</w:t>
      </w:r>
      <w:r>
        <w:rPr>
          <w:strike w:val="0"/>
          <w:color w:val="000000"/>
          <w:sz w:val="28"/>
          <w:u w:color="000000" w:val="none"/>
        </w:rPr>
        <w:t>остановлением</w:t>
      </w:r>
      <w:r>
        <w:rPr>
          <w:sz w:val="28"/>
        </w:rPr>
        <w:t xml:space="preserve"> </w:t>
      </w:r>
      <w:r>
        <w:rPr>
          <w:sz w:val="28"/>
        </w:rPr>
        <w:t xml:space="preserve">Правительства РФ от 30.05.2026 № 651 утверждены </w:t>
      </w:r>
      <w:r>
        <w:rPr>
          <w:sz w:val="28"/>
        </w:rPr>
        <w:t xml:space="preserve">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транспортировка и размещение которых может повлечь причинение вреда жизни, здоровью граждан, вреда животным, растениям и окружающей среде. </w:t>
      </w:r>
      <w:r>
        <w:rPr>
          <w:b w:val="0"/>
          <w:sz w:val="28"/>
        </w:rPr>
        <w:t>Устанавливаются требования к местам накопления отработанных ртутьсодержащих ламп, их транспортированию, утилизации и обезвреживанию.</w:t>
      </w:r>
    </w:p>
    <w:p w14:paraId="19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Признается утратившим силу постановление Правительства РФ от 28 декабря 2020 г. № 2314, регулирующее аналогичные правоотношения.</w:t>
      </w:r>
    </w:p>
    <w:p w14:paraId="1A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Настоящее постановление </w:t>
      </w:r>
      <w:r>
        <w:rPr>
          <w:b w:val="0"/>
          <w:sz w:val="28"/>
        </w:rPr>
        <w:t>применяется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 1 сентября 2026 г. и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действует до 1 сентября 2032 г.</w:t>
      </w:r>
    </w:p>
    <w:p w14:paraId="1B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1C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</w:p>
    <w:p w14:paraId="1D000000">
      <w:pPr>
        <w:widowControl w:val="1"/>
        <w:spacing w:after="0" w:before="0"/>
        <w:ind w:firstLine="567" w:left="0" w:right="0"/>
        <w:jc w:val="both"/>
        <w:rPr>
          <w:b w:val="0"/>
          <w:sz w:val="28"/>
        </w:rPr>
      </w:pPr>
      <w:r>
        <w:rPr>
          <w:color w:val="000000"/>
          <w:sz w:val="28"/>
          <w:u w:val="none"/>
        </w:rPr>
        <w:t> </w:t>
      </w:r>
    </w:p>
    <w:sectPr>
      <w:headerReference r:id="rId2" w:type="default"/>
      <w:headerReference r:id="rId1" w:type="even"/>
      <w:footerReference r:id="rId3" w:type="default"/>
      <w:pgSz w:h="16838" w:orient="portrait" w:w="11906"/>
      <w:pgMar w:bottom="1276" w:footer="720" w:gutter="0" w:header="720" w:left="1418" w:right="1021" w:top="96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0"/>
      <w:ind w:firstLine="720" w:left="0"/>
      <w:jc w:val="both"/>
      <w:rPr>
        <w:sz w:val="28"/>
      </w:rPr>
    </w:pP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widowControl w:val="0"/>
      <w:ind/>
      <w:jc w:val="both"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4_ch"/>
    <w:link w:val="Style_10"/>
    <w:rPr>
      <w:rFonts w:ascii="Cambria" w:hAnsi="Cambria"/>
      <w:b w:val="1"/>
      <w:sz w:val="26"/>
    </w:rPr>
  </w:style>
  <w:style w:styleId="Style_11" w:type="paragraph">
    <w:name w:val="List"/>
    <w:basedOn w:val="Style_4"/>
    <w:link w:val="Style_11_ch"/>
    <w:pPr>
      <w:widowControl w:val="0"/>
      <w:ind w:hanging="283" w:left="283"/>
      <w:contextualSpacing w:val="1"/>
    </w:pPr>
  </w:style>
  <w:style w:styleId="Style_11_ch" w:type="character">
    <w:name w:val="List"/>
    <w:basedOn w:val="Style_4_ch"/>
    <w:link w:val="Style_11"/>
  </w:style>
  <w:style w:styleId="Style_3" w:type="paragraph">
    <w:name w:val="foot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 Indent"/>
    <w:basedOn w:val="Style_4"/>
    <w:link w:val="Style_14_ch"/>
    <w:pPr>
      <w:widowControl w:val="0"/>
      <w:spacing w:before="240"/>
      <w:ind w:firstLine="720" w:left="0"/>
      <w:jc w:val="both"/>
    </w:pPr>
  </w:style>
  <w:style w:styleId="Style_14_ch" w:type="character">
    <w:name w:val="Body Text Indent"/>
    <w:basedOn w:val="Style_4_ch"/>
    <w:link w:val="Style_14"/>
  </w:style>
  <w:style w:styleId="Style_15" w:type="paragraph">
    <w:name w:val="Body Text First Indent"/>
    <w:basedOn w:val="Style_16"/>
    <w:link w:val="Style_15_ch"/>
    <w:pPr>
      <w:widowControl w:val="0"/>
      <w:spacing w:after="120"/>
      <w:ind w:firstLine="210" w:left="0"/>
      <w:jc w:val="left"/>
    </w:pPr>
    <w:rPr>
      <w:b w:val="1"/>
      <w:sz w:val="20"/>
    </w:rPr>
  </w:style>
  <w:style w:styleId="Style_15_ch" w:type="character">
    <w:name w:val="Body Text First Indent"/>
    <w:basedOn w:val="Style_16_ch"/>
    <w:link w:val="Style_15"/>
    <w:rPr>
      <w:b w:val="1"/>
      <w:sz w:val="20"/>
    </w:rPr>
  </w:style>
  <w:style w:styleId="Style_17" w:type="paragraph">
    <w:name w:val="Emphasis"/>
    <w:link w:val="Style_17_ch"/>
    <w:rPr>
      <w:i w:val="1"/>
    </w:rPr>
  </w:style>
  <w:style w:styleId="Style_17_ch" w:type="character">
    <w:name w:val="Emphasis"/>
    <w:link w:val="Style_17"/>
    <w:rPr>
      <w:i w:val="1"/>
    </w:rPr>
  </w:style>
  <w:style w:styleId="Style_18" w:type="paragraph">
    <w:name w:val="heading 5"/>
    <w:next w:val="Style_4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widowControl w:val="0"/>
      <w:ind/>
      <w:outlineLvl w:val="0"/>
    </w:pPr>
    <w:rPr>
      <w:rFonts w:ascii="Cambria" w:hAnsi="Cambria"/>
      <w:b w:val="1"/>
      <w:sz w:val="32"/>
    </w:rPr>
  </w:style>
  <w:style w:styleId="Style_19_ch" w:type="character">
    <w:name w:val="heading 1"/>
    <w:basedOn w:val="Style_4_ch"/>
    <w:link w:val="Style_19"/>
    <w:rPr>
      <w:rFonts w:ascii="Cambria" w:hAnsi="Cambria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1" w:type="paragraph">
    <w:name w:val="header"/>
    <w:basedOn w:val="Style_4"/>
    <w:link w:val="Style_1_ch"/>
    <w:pPr>
      <w:widowControl w:val="0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24" w:type="paragraph">
    <w:name w:val="List 2"/>
    <w:basedOn w:val="Style_4"/>
    <w:link w:val="Style_24_ch"/>
    <w:pPr>
      <w:widowControl w:val="0"/>
      <w:ind w:hanging="283" w:left="566"/>
      <w:contextualSpacing w:val="1"/>
    </w:pPr>
  </w:style>
  <w:style w:styleId="Style_24_ch" w:type="character">
    <w:name w:val="List 2"/>
    <w:basedOn w:val="Style_4_ch"/>
    <w:link w:val="Style_24"/>
  </w:style>
  <w:style w:styleId="Style_16" w:type="paragraph">
    <w:name w:val="Body Text"/>
    <w:basedOn w:val="Style_4"/>
    <w:link w:val="Style_16_ch"/>
    <w:pPr>
      <w:widowControl w:val="0"/>
      <w:ind/>
      <w:jc w:val="both"/>
    </w:pPr>
  </w:style>
  <w:style w:styleId="Style_16_ch" w:type="character">
    <w:name w:val="Body Text"/>
    <w:basedOn w:val="Style_4_ch"/>
    <w:link w:val="Style_16"/>
  </w:style>
  <w:style w:styleId="Style_25" w:type="paragraph">
    <w:name w:val="toc 9"/>
    <w:next w:val="Style_4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5"/>
    <w:next w:val="Style_4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Body Text 2"/>
    <w:basedOn w:val="Style_4"/>
    <w:link w:val="Style_29_ch"/>
    <w:pPr>
      <w:widowControl w:val="0"/>
      <w:ind/>
      <w:jc w:val="both"/>
    </w:pPr>
  </w:style>
  <w:style w:styleId="Style_29_ch" w:type="character">
    <w:name w:val="Body Text 2"/>
    <w:basedOn w:val="Style_4_ch"/>
    <w:link w:val="Style_29"/>
  </w:style>
  <w:style w:styleId="Style_30" w:type="paragraph">
    <w:name w:val="Body Text 3"/>
    <w:basedOn w:val="Style_4"/>
    <w:link w:val="Style_30_ch"/>
    <w:pPr>
      <w:widowControl w:val="0"/>
      <w:ind/>
      <w:jc w:val="both"/>
    </w:pPr>
    <w:rPr>
      <w:sz w:val="16"/>
    </w:rPr>
  </w:style>
  <w:style w:styleId="Style_30_ch" w:type="character">
    <w:name w:val="Body Text 3"/>
    <w:basedOn w:val="Style_4_ch"/>
    <w:link w:val="Style_30"/>
    <w:rPr>
      <w:sz w:val="16"/>
    </w:rPr>
  </w:style>
  <w:style w:styleId="Style_31" w:type="paragraph">
    <w:name w:val="Subtitle"/>
    <w:next w:val="Style_4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basedOn w:val="Style_4"/>
    <w:link w:val="Style_32_ch"/>
    <w:uiPriority w:val="10"/>
    <w:qFormat/>
    <w:pPr>
      <w:widowControl w:val="0"/>
      <w:ind/>
      <w:jc w:val="center"/>
    </w:pPr>
    <w:rPr>
      <w:rFonts w:ascii="Cambria" w:hAnsi="Cambria"/>
      <w:b w:val="1"/>
      <w:sz w:val="32"/>
    </w:rPr>
  </w:style>
  <w:style w:styleId="Style_32_ch" w:type="character">
    <w:name w:val="Title"/>
    <w:basedOn w:val="Style_4_ch"/>
    <w:link w:val="Style_32"/>
    <w:rPr>
      <w:rFonts w:ascii="Cambria" w:hAnsi="Cambria"/>
      <w:b w:val="1"/>
      <w:sz w:val="32"/>
    </w:rPr>
  </w:style>
  <w:style w:styleId="Style_33" w:type="paragraph">
    <w:name w:val="heading 4"/>
    <w:next w:val="Style_4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4"/>
    <w:next w:val="Style_4"/>
    <w:link w:val="Style_34_ch"/>
    <w:uiPriority w:val="9"/>
    <w:qFormat/>
    <w:pPr>
      <w:keepNext w:val="1"/>
      <w:widowControl w:val="0"/>
      <w:ind/>
      <w:jc w:val="both"/>
      <w:outlineLvl w:val="1"/>
    </w:pPr>
    <w:rPr>
      <w:rFonts w:ascii="Cambria" w:hAnsi="Cambria"/>
      <w:b w:val="1"/>
      <w:i w:val="1"/>
      <w:sz w:val="28"/>
    </w:rPr>
  </w:style>
  <w:style w:styleId="Style_34_ch" w:type="character">
    <w:name w:val="heading 2"/>
    <w:basedOn w:val="Style_4_ch"/>
    <w:link w:val="Style_34"/>
    <w:rPr>
      <w:rFonts w:ascii="Cambria" w:hAnsi="Cambria"/>
      <w:b w:val="1"/>
      <w:i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2025-10-06T11:53:36Z</dcterms:created>
  <dcterms:modified xsi:type="dcterms:W3CDTF">2026-06-18T13:58:51Z</dcterms:modified>
</cp:coreProperties>
</file>