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center"/>
        <w:rPr>
          <w:sz w:val="40"/>
          <w:szCs w:val="40"/>
          <w:u w:val="none"/>
        </w:rPr>
      </w:pPr>
      <w:r>
        <w:rPr>
          <w:b/>
          <w:bCs/>
          <w:color w:val="005DB7"/>
          <w:sz w:val="40"/>
          <w:szCs w:val="40"/>
          <w:u w:val="none"/>
        </w:rPr>
        <w:t>Качество и безопасность детских товаров, школьных принадлежностей</w:t>
      </w:r>
    </w:p>
    <w:p>
      <w:pPr>
        <w:pStyle w:val="NoSpacing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>
          <w:b/>
          <w:bCs/>
          <w:color w:val="005DB7"/>
          <w:sz w:val="28"/>
          <w:szCs w:val="28"/>
          <w:u w:val="single"/>
        </w:rPr>
      </w:pPr>
      <w:r>
        <w:rPr>
          <w:b/>
          <w:bCs/>
          <w:color w:val="005DB7"/>
          <w:sz w:val="28"/>
          <w:szCs w:val="28"/>
          <w:u w:val="single"/>
        </w:rPr>
      </w:r>
    </w:p>
    <w:p>
      <w:pPr>
        <w:pStyle w:val="NoSpacing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000000" w:themeColor="text1"/>
          <w:sz w:val="28"/>
          <w:szCs w:val="28"/>
        </w:rPr>
        <w:tab/>
        <w:t>В преддверии нового учебного года большинство родителей, проявляя заботу о своих детях, совершают походы в магазины в поисках необходимых товаров.</w:t>
      </w:r>
    </w:p>
    <w:p>
      <w:pPr>
        <w:pStyle w:val="NoSpacing"/>
        <w:shd w:val="clear" w:color="auto" w:fill="FFFFFF"/>
        <w:spacing w:lineRule="auto" w:line="240" w:beforeAutospacing="0" w:before="0" w:afterAutospacing="0" w:after="0"/>
        <w:ind w:left="0" w:right="0" w:hanging="0"/>
        <w:contextualSpacing/>
        <w:jc w:val="both"/>
        <w:rPr/>
      </w:pPr>
      <w:r>
        <w:rPr>
          <w:color w:val="000000" w:themeColor="text1"/>
          <w:sz w:val="28"/>
          <w:szCs w:val="28"/>
        </w:rPr>
        <w:tab/>
        <w:t>Ассортимент детских товаров очень велик, поэтому для родителей не составляет труда найти необходимый им товар. И все же при выборе товара важнейшим критерием должно оставаться качество и его безопасность в использовании.</w:t>
      </w:r>
    </w:p>
    <w:p>
      <w:pPr>
        <w:pStyle w:val="NoSpacing"/>
        <w:shd w:val="clear" w:color="auto" w:fill="FFFFFF"/>
        <w:tabs>
          <w:tab w:val="clear" w:pos="709"/>
          <w:tab w:val="left" w:pos="9781" w:leader="none"/>
        </w:tabs>
        <w:spacing w:lineRule="auto" w:line="240" w:beforeAutospacing="0" w:before="0" w:afterAutospacing="0" w:after="0"/>
        <w:ind w:left="0" w:right="0" w:hanging="0"/>
        <w:contextualSpacing/>
        <w:jc w:val="center"/>
        <w:rPr/>
      </w:pPr>
      <w:r>
        <w:rPr>
          <w:b/>
          <w:bCs/>
          <w:color w:val="000000" w:themeColor="text1"/>
          <w:sz w:val="28"/>
          <w:szCs w:val="28"/>
        </w:rPr>
        <w:t>В отношении игр и игрушек: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На рынке бывает представлена продукция низкого качества, а порой даже опасная для детей. Родителям необходимо быть очень бдительными и, прежде чем приобрести, например игрушку, следует внимательно изучить инструкцию по эксплуатации и предупредительные надписи, чтобы убедиться в ее безопасности для своего ребенка. Очень важно учитывать возраст ребенка, так как наличие мелких съемных деталей может привести к трагическим последствиям (мелкие детали могут попасть в дыхательные пути ребенка, или он может их проглотить).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740" w:leader="none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Таким образом, при выборе детских игр и игрушек необходимо обратить внимание на следующие параметры: наличие и состояние упаковки – без повреждений; информация на упаковке – должна быть изложена на русском языке с указанием, для какого возраста ребенка предназначена игрушка; особенности эксплуатации, из каких материалов изготовлена (пластмассовая, резиновая, деревянная и т.д.).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Обязательно должна быть указана информация о производителе, знак соответствия и документ, по которому она изготовлена (ГОСТ, ТУ и др.).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Сильный запах у игрушки, следы краски на руках должны насторожить родителей – возможно, производитель нарушил технологию производства игрушек, или использовал небезопасные красители. Такую игрушку не стоит покупать.</w:t>
      </w:r>
    </w:p>
    <w:p>
      <w:pPr>
        <w:pStyle w:val="NoSpacing"/>
        <w:shd w:val="clear" w:color="auto" w:fill="FFFFFF"/>
        <w:tabs>
          <w:tab w:val="clear" w:pos="709"/>
          <w:tab w:val="left" w:pos="9639" w:leader="none"/>
          <w:tab w:val="left" w:pos="9781" w:leader="none"/>
        </w:tabs>
        <w:spacing w:lineRule="auto" w:line="240" w:beforeAutospacing="0" w:before="0" w:afterAutospacing="0" w:after="0"/>
        <w:ind w:left="0" w:right="0" w:hanging="0"/>
        <w:contextualSpacing/>
        <w:jc w:val="center"/>
        <w:rPr/>
      </w:pPr>
      <w:r>
        <w:rPr>
          <w:b/>
          <w:bCs/>
          <w:color w:val="000000" w:themeColor="text1"/>
          <w:sz w:val="28"/>
          <w:szCs w:val="28"/>
        </w:rPr>
        <w:t>В отношении канцелярских принадлежностей, книг: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710" w:leader="none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Не менее серьезно необходимо подходить и к выбору школьных канцелярских принадлежностей. Обращайте внимание на габариты, вес, комплектность и практичность при использовании этих товаров - Ваш ребенок будет пользоваться этими товарами в течение всего учебного года каждый день, носить их в портфеле.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Канцелярские товары должны быть наименее травматичны и просты в эксплуатации, особенно это важно для школьников младших классов. Эти товары также должны сопровождаться полной и достоверной информацией, иметь документы, подтверждающие их качество и безопасность. Важно учесть, что наличие огромного количества разных мелких красочных картинок на школьных принадлежностях, может отвлекать ребенка от изучения школьных предметов, рассеивать его внимание.</w:t>
      </w:r>
    </w:p>
    <w:p>
      <w:pPr>
        <w:pStyle w:val="NoSpacing"/>
        <w:shd w:val="clear" w:color="auto" w:fill="FFFFFF"/>
        <w:tabs>
          <w:tab w:val="clear" w:pos="709"/>
          <w:tab w:val="left" w:pos="9639" w:leader="none"/>
          <w:tab w:val="left" w:pos="9781" w:leader="none"/>
        </w:tabs>
        <w:spacing w:lineRule="auto" w:line="240" w:beforeAutospacing="0" w:before="0" w:afterAutospacing="0" w:after="0"/>
        <w:ind w:left="0" w:right="0" w:hanging="0"/>
        <w:contextualSpacing/>
        <w:jc w:val="center"/>
        <w:rPr/>
      </w:pPr>
      <w:r>
        <w:rPr>
          <w:b/>
          <w:bCs/>
          <w:color w:val="000000" w:themeColor="text1"/>
          <w:sz w:val="28"/>
          <w:szCs w:val="28"/>
        </w:rPr>
        <w:t>В отношении детской одежды, обуви и белья: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При покупке детской одежды, обуви и другого белья для ребенка следует обратить внимание прежде всего на качество материалов и пошив. Эти товары, как и любые другие обязательно сопровождаются маркировкой, которая расположена на этикетках и ярлыках, в том числе по</w:t>
      </w:r>
      <w:r>
        <w:rPr>
          <w:color w:val="000000" w:themeColor="text1"/>
          <w:spacing w:val="2"/>
          <w:sz w:val="28"/>
          <w:szCs w:val="28"/>
          <w:shd w:fill="FFFFFF" w:val="clear"/>
        </w:rPr>
        <w:t> средствами идентификации</w:t>
      </w:r>
      <w:r>
        <w:rPr>
          <w:color w:val="000000" w:themeColor="text1"/>
          <w:sz w:val="28"/>
          <w:szCs w:val="28"/>
        </w:rPr>
        <w:t>.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На маркировке обязательно должен быть указан состав ткани. Это очень важная информация, потому как для детей наименее опасными считаются натуральные ткани – хлопок, лен, кожа и т.д. Важно также проверить изделие на наличие производственных дефектов. Если Вы обнаружили дефекты в одежде или обуви в пределах гарантийного срока товара, у Вас есть право в претензионном (досудебном) порядке письменно обратиться к продавцу, и указать одно из требований ст. 18 Закона «О защите прав потребителей»: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- заменить некачественный товар на товар этой же марки;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- заменить некачественный товар на товар другой марки с соответствующим перерасчетом покупной цены;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- соразмерное уменьшение покупной цены;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- незамедлительное безвозмездное устранение недостатков в товаре или возмещение расходов на их исправление потребителем или третьим лицом;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37"/>
        <w:contextualSpacing/>
        <w:jc w:val="both"/>
        <w:rPr/>
      </w:pPr>
      <w:r>
        <w:rPr>
          <w:color w:val="000000" w:themeColor="text1"/>
          <w:sz w:val="28"/>
          <w:szCs w:val="28"/>
        </w:rPr>
        <w:t>- отказ от исполнения договора купли-продажи и возврат уплаченной за товар суммы.</w:t>
      </w:r>
    </w:p>
    <w:p>
      <w:pPr>
        <w:pStyle w:val="NoSpacing"/>
        <w:widowControl/>
        <w:shd w:val="clear" w:color="auto" w:fill="FFFFFF"/>
        <w:tabs>
          <w:tab w:val="clear" w:pos="709"/>
          <w:tab w:val="left" w:pos="9639" w:leader="none"/>
          <w:tab w:val="left" w:pos="9781" w:leader="none"/>
        </w:tabs>
        <w:suppressAutoHyphens w:val="true"/>
        <w:bidi w:val="0"/>
        <w:spacing w:lineRule="auto" w:line="240" w:beforeAutospacing="0" w:before="0" w:afterAutospacing="0" w:after="0"/>
        <w:ind w:left="0" w:right="0" w:firstLine="794"/>
        <w:contextualSpacing/>
        <w:jc w:val="both"/>
        <w:rPr/>
      </w:pPr>
      <w:r>
        <w:rPr>
          <w:color w:val="000000" w:themeColor="text1"/>
          <w:sz w:val="28"/>
          <w:szCs w:val="28"/>
        </w:rPr>
        <w:t>В соответствии со ст. 19 Закона «О защите прав потребителей» продавец несет ответственность за качество товара в пределах гарантийного срока.</w:t>
      </w:r>
    </w:p>
    <w:p>
      <w:pPr>
        <w:pStyle w:val="Normal"/>
        <w:tabs>
          <w:tab w:val="clear" w:pos="709"/>
          <w:tab w:val="left" w:pos="9639" w:leader="none"/>
          <w:tab w:val="left" w:pos="9781" w:leader="none"/>
        </w:tabs>
        <w:spacing w:lineRule="auto" w:line="240" w:before="0" w:after="0"/>
        <w:ind w:left="0" w:right="0" w:hanging="0"/>
        <w:contextualSpacing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</w:r>
    </w:p>
    <w:p>
      <w:pPr>
        <w:pStyle w:val="Normal"/>
        <w:tabs>
          <w:tab w:val="clear" w:pos="709"/>
          <w:tab w:val="left" w:pos="9639" w:leader="none"/>
          <w:tab w:val="left" w:pos="9781" w:leader="none"/>
        </w:tabs>
        <w:spacing w:lineRule="auto" w:line="240" w:before="0" w:after="0"/>
        <w:ind w:left="0" w:right="0" w:hanging="0"/>
        <w:contextualSpacing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</w:r>
    </w:p>
    <w:p>
      <w:pPr>
        <w:pStyle w:val="Normal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  <w:b/>
          <w:i/>
          <w:iCs/>
          <w:sz w:val="22"/>
          <w:szCs w:val="22"/>
        </w:rPr>
        <w:t>Набережночелнинский</w:t>
      </w:r>
      <w:r>
        <w:rPr>
          <w:rFonts w:ascii="Times New Roman" w:hAnsi="Times New Roman"/>
          <w:b/>
          <w:i/>
          <w:iCs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 xml:space="preserve">филиал      </w:t>
      </w:r>
    </w:p>
    <w:p>
      <w:pPr>
        <w:pStyle w:val="Normal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  <w:b/>
          <w:i/>
          <w:iCs/>
          <w:sz w:val="22"/>
          <w:szCs w:val="22"/>
        </w:rPr>
        <w:t>Федерального</w:t>
      </w:r>
      <w:r>
        <w:rPr>
          <w:rFonts w:ascii="Times New Roman" w:hAnsi="Times New Roman"/>
          <w:b/>
          <w:i/>
          <w:iCs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бюджетного</w:t>
      </w:r>
      <w:r>
        <w:rPr>
          <w:rFonts w:ascii="Times New Roman" w:hAnsi="Times New Roman"/>
          <w:b/>
          <w:i/>
          <w:iCs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учреждения</w:t>
      </w:r>
      <w:r>
        <w:rPr>
          <w:rFonts w:ascii="Times New Roman" w:hAnsi="Times New Roman"/>
          <w:b/>
          <w:i/>
          <w:iCs/>
          <w:spacing w:val="-10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 xml:space="preserve">здравоохранения      </w:t>
      </w:r>
    </w:p>
    <w:p>
      <w:pPr>
        <w:pStyle w:val="Normal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  <w:i/>
          <w:i/>
          <w:iCs/>
        </w:rPr>
      </w:pPr>
      <w:r>
        <w:rPr>
          <w:rFonts w:ascii="Times New Roman" w:hAnsi="Times New Roman"/>
          <w:b/>
          <w:i/>
          <w:iCs/>
          <w:sz w:val="22"/>
          <w:szCs w:val="22"/>
        </w:rPr>
        <w:t>«Центр</w:t>
      </w:r>
      <w:r>
        <w:rPr>
          <w:rFonts w:ascii="Times New Roman" w:hAnsi="Times New Roman"/>
          <w:b/>
          <w:i/>
          <w:iCs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гигиены</w:t>
      </w:r>
      <w:r>
        <w:rPr>
          <w:rFonts w:ascii="Times New Roman" w:hAnsi="Times New Roman"/>
          <w:b/>
          <w:i/>
          <w:iCs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и</w:t>
      </w:r>
      <w:r>
        <w:rPr>
          <w:rFonts w:ascii="Times New Roman" w:hAnsi="Times New Roman"/>
          <w:b/>
          <w:i/>
          <w:iCs/>
          <w:spacing w:val="-2"/>
          <w:sz w:val="22"/>
          <w:szCs w:val="22"/>
        </w:rPr>
        <w:t xml:space="preserve"> эпидемиологии </w:t>
      </w:r>
      <w:r>
        <w:rPr>
          <w:rFonts w:ascii="Times New Roman" w:hAnsi="Times New Roman"/>
          <w:b/>
          <w:i/>
          <w:iCs/>
          <w:sz w:val="22"/>
          <w:szCs w:val="22"/>
        </w:rPr>
        <w:t>в</w:t>
      </w:r>
      <w:r>
        <w:rPr>
          <w:rFonts w:ascii="Times New Roman" w:hAnsi="Times New Roman"/>
          <w:b/>
          <w:i/>
          <w:iCs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Республике</w:t>
      </w:r>
      <w:r>
        <w:rPr>
          <w:rFonts w:ascii="Times New Roman" w:hAnsi="Times New Roman"/>
          <w:b/>
          <w:i/>
          <w:iCs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z w:val="22"/>
          <w:szCs w:val="22"/>
        </w:rPr>
        <w:t>Татарстан</w:t>
      </w:r>
      <w:r>
        <w:rPr>
          <w:rFonts w:ascii="Times New Roman" w:hAnsi="Times New Roman"/>
          <w:b/>
          <w:i/>
          <w:iCs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iCs/>
          <w:spacing w:val="-2"/>
          <w:sz w:val="22"/>
          <w:szCs w:val="22"/>
        </w:rPr>
        <w:t xml:space="preserve">(Татарстан)»      </w:t>
      </w:r>
    </w:p>
    <w:p>
      <w:pPr>
        <w:pStyle w:val="Style15"/>
        <w:bidi w:val="0"/>
        <w:spacing w:before="0" w:after="0"/>
        <w:ind w:left="0" w:right="0" w:hanging="0"/>
        <w:contextualSpacing/>
        <w:jc w:val="right"/>
        <w:rPr>
          <w:rFonts w:ascii="Times New Roman" w:hAnsi="Times New Roman"/>
          <w:i/>
          <w:i/>
          <w:iCs/>
        </w:rPr>
      </w:pPr>
      <w:bookmarkStart w:id="0" w:name="_GoBack"/>
      <w:bookmarkEnd w:id="0"/>
      <w:r>
        <w:rPr>
          <w:rFonts w:ascii="Times New Roman" w:hAnsi="Times New Roman"/>
          <w:b/>
          <w:bCs/>
          <w:i/>
          <w:iCs/>
          <w:spacing w:val="-2"/>
          <w:sz w:val="22"/>
          <w:szCs w:val="22"/>
        </w:rPr>
        <w:t>8 (8552) 46-41-52</w:t>
      </w:r>
      <w:bookmarkStart w:id="1" w:name="_GoBack_Копия_1"/>
      <w:bookmarkEnd w:id="1"/>
      <w:r>
        <w:rPr>
          <w:rFonts w:ascii="Times New Roman" w:hAnsi="Times New Roman"/>
          <w:b/>
          <w:bCs/>
          <w:i/>
          <w:i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spacing w:val="-2"/>
          <w:sz w:val="22"/>
          <w:szCs w:val="22"/>
        </w:rPr>
        <w:t xml:space="preserve">г.Набережные Челны, ул. Низаметдинова, 14.      </w:t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basedOn w:val="Normal"/>
    <w:uiPriority w:val="1"/>
    <w:qFormat/>
    <w:rsid w:val="007c1f8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LibreOffice/7.5.6.2$Linux_X86_64 LibreOffice_project/50$Build-2</Application>
  <AppVersion>15.0000</AppVersion>
  <Pages>2</Pages>
  <Words>545</Words>
  <Characters>3556</Characters>
  <CharactersWithSpaces>4107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2026-08-14T08:48:00Z</dcterms:created>
  <dc:creator>Юрист</dc:creator>
  <dc:description/>
  <dc:language>ru-RU</dc:language>
  <cp:lastModifiedBy/>
  <dcterms:modified xsi:type="dcterms:W3CDTF">2026-08-18T15:19:03Z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