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spacing w:lineRule="auto" w:line="240" w:before="0" w:after="0"/>
        <w:jc w:val="center"/>
        <w:outlineLvl w:val="0"/>
        <w:rPr>
          <w:color w:val="FF0000"/>
        </w:rPr>
      </w:pPr>
      <w:r>
        <w:rPr>
          <w:rFonts w:eastAsia="Times New Roman" w:cs="Times New Roman" w:ascii="Times New Roman" w:hAnsi="Times New Roman"/>
          <w:b/>
          <w:color w:val="FF0000"/>
          <w:kern w:val="2"/>
          <w:sz w:val="32"/>
          <w:szCs w:val="32"/>
          <w:lang w:eastAsia="ru-RU"/>
        </w:rPr>
        <w:t xml:space="preserve">На что необходимо обратить </w:t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center"/>
        <w:outlineLvl w:val="0"/>
        <w:rPr>
          <w:color w:val="FF0000"/>
        </w:rPr>
      </w:pPr>
      <w:r>
        <w:rPr>
          <w:rFonts w:eastAsia="Times New Roman" w:cs="Times New Roman" w:ascii="Times New Roman" w:hAnsi="Times New Roman"/>
          <w:b/>
          <w:color w:val="FF0000"/>
          <w:kern w:val="2"/>
          <w:sz w:val="32"/>
          <w:szCs w:val="32"/>
          <w:lang w:eastAsia="ru-RU"/>
        </w:rPr>
        <w:t xml:space="preserve">внимание при покупке </w:t>
      </w:r>
      <w:r>
        <w:rPr>
          <w:rFonts w:eastAsia="Times New Roman" w:cs="Times New Roman" w:ascii="Times New Roman" w:hAnsi="Times New Roman"/>
          <w:b/>
          <w:color w:val="FF0000"/>
          <w:kern w:val="2"/>
          <w:sz w:val="32"/>
          <w:szCs w:val="32"/>
          <w:lang w:eastAsia="ru-RU"/>
        </w:rPr>
        <w:t xml:space="preserve">детских </w:t>
      </w:r>
      <w:r>
        <w:rPr>
          <w:rFonts w:eastAsia="Times New Roman" w:cs="Times New Roman" w:ascii="Times New Roman" w:hAnsi="Times New Roman"/>
          <w:b/>
          <w:color w:val="FF0000"/>
          <w:kern w:val="2"/>
          <w:sz w:val="32"/>
          <w:szCs w:val="32"/>
          <w:lang w:eastAsia="ru-RU"/>
        </w:rPr>
        <w:t>новогодних подарков.</w:t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center"/>
        <w:outlineLvl w:val="0"/>
        <w:rPr>
          <w:rFonts w:ascii="Times New Roman" w:hAnsi="Times New Roman" w:eastAsia="Times New Roman" w:cs="Times New Roman"/>
          <w:b/>
          <w:color w:val="262626"/>
          <w:kern w:val="2"/>
          <w:sz w:val="32"/>
          <w:szCs w:val="32"/>
          <w:lang w:eastAsia="ru-RU"/>
        </w:rPr>
      </w:pPr>
      <w:r>
        <w:rPr>
          <w:color w:val="C9211E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color w:val="C9211E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1115695</wp:posOffset>
            </wp:positionH>
            <wp:positionV relativeFrom="paragraph">
              <wp:posOffset>20955</wp:posOffset>
            </wp:positionV>
            <wp:extent cx="3841750" cy="2560955"/>
            <wp:effectExtent l="0" t="0" r="0" b="0"/>
            <wp:wrapTopAndBottom/>
            <wp:docPr id="1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1750" cy="2560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40" w:before="0" w:after="0"/>
        <w:ind w:firstLine="567"/>
        <w:jc w:val="center"/>
        <w:rPr>
          <w:b/>
          <w:bCs/>
          <w:i/>
          <w:i/>
          <w:iCs/>
          <w:color w:val="FF0000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FF0000"/>
          <w:sz w:val="28"/>
          <w:szCs w:val="28"/>
          <w:lang w:eastAsia="ru-RU"/>
        </w:rPr>
        <w:t>Новый год — долгожданный праздник мечты, радости и желаний.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color w:val="F10D0C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При реализации новогодних наборов кондитерских изделий для детей, детских игр и игрушек должны быть соблюдены требования технических регламентов Таможенного союза, законодательства России в сфере защиты прав потребителей. Подарки стоит приобретать в местах организованной торговли (магазины, торговые базы, официальные рынки).</w:t>
      </w:r>
    </w:p>
    <w:p>
      <w:pPr>
        <w:pStyle w:val="Normal"/>
        <w:numPr>
          <w:ilvl w:val="0"/>
          <w:numId w:val="1"/>
        </w:numPr>
        <w:spacing w:lineRule="auto" w:line="240" w:before="0" w:after="0"/>
        <w:ind w:left="0"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Обратите внимание на информацию, которая в обязательном порядке должна быть на русском языке: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- наименование продукта;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- наименование кондитерских изделий, входящих в подарок;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- наименование и местонахождение изготовителя;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- масса (нетто);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- наличие маркировки (этикетки).</w:t>
      </w:r>
    </w:p>
    <w:p>
      <w:pPr>
        <w:pStyle w:val="Normal"/>
        <w:numPr>
          <w:ilvl w:val="0"/>
          <w:numId w:val="2"/>
        </w:numPr>
        <w:spacing w:lineRule="auto" w:line="240" w:before="0" w:after="0"/>
        <w:ind w:left="0"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Для кондитерских наборов, состоящих из различных видов и наименований изделий, указывается: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- общий состав ингредиентов всех изделий, входящих в данный набор;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- пищевая ценность;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- условия хранения;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- срок годности;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- дата изготовления;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- обозначение документа, в соответствии с которым изготовлен продукт;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- информация о подтверждении соответствия товаров установленным требованиям.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По просьбе потребителя продавец обязан ознакомить его с товарно-сопроводительной документацией на товар, содержащей по каждому наименованию товара, сведения об обязательном подтверждении соответствия согласно законодательству РФ о техническом регулировании (сертификат соответствия или сведения о декларации о соответствии).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3.</w:t>
        <w:tab/>
        <w:t>Не рекомендуется приобретать сладкий подарок, в составе которого есть скоропортящиеся продукты (кремовые кондитерские изделия, йогурты).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4.</w:t>
        <w:tab/>
        <w:t>При выборе сладкого новогоднего подарка необходимо также обратить внимание на упаковку. Содержимое, а именно конфеты и другие сладости, должны быть хорошо защищены от внешнего воздействия, упаковка должна быть плотно закрытой, не мятой и не деформированной.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5.</w:t>
        <w:tab/>
        <w:t>В случае если в состав кондитерского набора входит детская игрушка, то она должна быть нетравмоопасно</w:t>
      </w:r>
      <w:bookmarkStart w:id="0" w:name="_GoBack"/>
      <w:bookmarkEnd w:id="0"/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 xml:space="preserve">й и обязательно упакованной </w:t>
      </w: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Н</w:t>
      </w: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а приобретенный новогодний подарок и игрушки, вложенные в подарок, мож</w:t>
      </w: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но</w:t>
      </w: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 xml:space="preserve"> потребовать документы, свидетельствующие о безопасности продукции.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/>
      </w:r>
    </w:p>
    <w:p>
      <w:pPr>
        <w:pStyle w:val="Normal"/>
        <w:spacing w:lineRule="auto" w:line="240" w:before="0" w:after="0"/>
        <w:ind w:firstLine="567"/>
        <w:jc w:val="center"/>
        <w:rPr>
          <w:color w:val="000000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>Приобретение детских игрушек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При приобретении детских игрушек обратите внимание на маркировку изделия, наименование страны-изготовителя, товарный знак изготовителя (при наличии) и минимальный возраст ребенка, для которого предназначена игрушка. Не покупайте игрушки без упаковки.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Желательно п</w:t>
      </w: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окупа</w:t>
      </w: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ть</w:t>
      </w: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 xml:space="preserve"> игрушки в специализированных магазинах, не приобрет</w:t>
      </w: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 xml:space="preserve">ать </w:t>
      </w: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«с рук» в местах несанкционированной торговли.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Документами на детские игрушки являются сертификаты или декларации соответствия. Ее выдает изготовитель, который гарантирует соблюдение требований безопасности. С данными документами покупатель может ознакомиться при приобретении детской игрушки.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Игрушка должна быть разработана и изготовлена таким образом, чтобы при ее применении по назначению она не представляла опасности для жизни и здоровья детей, а также соответствовала требованиям безопасности. Определившись с выбором игрушки, покупатель вправе самостоятельно или с помощью продавца наглядно ознакомиться с товаром и его свойствами.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Игрушка и съемные детали игрушки, предназначенн</w:t>
      </w: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ые</w:t>
      </w: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 xml:space="preserve"> для детей в возрасте до 3 лет, а также игрушки, непосредственно закрепляемые на пищевых продуктах, должны иметь такие размеры, чтобы избежать попадания в верхние дыхательные пути.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/>
      </w:r>
    </w:p>
    <w:p>
      <w:pPr>
        <w:pStyle w:val="Normal"/>
        <w:spacing w:lineRule="auto" w:line="240" w:before="0" w:after="0"/>
        <w:ind w:firstLine="567"/>
        <w:jc w:val="center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262626"/>
          <w:sz w:val="28"/>
          <w:szCs w:val="28"/>
          <w:lang w:eastAsia="ru-RU"/>
        </w:rPr>
        <w:t>Приобретение детской одежды, обуви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 xml:space="preserve">Продукция, предназначенная для детей и подростков, независимо от страны происхождения, должна соответствовать требованиям </w:t>
      </w: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Т</w:t>
      </w: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 xml:space="preserve">ехнического регламента </w:t>
      </w: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Т</w:t>
      </w: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 xml:space="preserve">аможенного союза ТР ТС 007/2011 «О безопасности продукции, предназначенной для детей и подростков», утвержденного </w:t>
      </w: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Р</w:t>
      </w: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ешением Комиссии Таможенного союза от 23.09.2011г. №797 «О принятии Технического регламента Таможенного союза «О безопасности продукции, предназначенной для детей и подростков».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 xml:space="preserve">Приобретенные товары для детей должны быть безопасными для здоровья ребенка. Для безопасного использования детского товара необходимо соблюдение специальных правил, которые должны быть разработаны изготовителем. </w:t>
      </w: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Э</w:t>
      </w: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ти правила изготовитель обязан указать в сопроводительной документации на товар, на этикетке маркировкой или иным способом.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Продукция для детей и подростков, соответствующая требованиям безопасности и прошедшая процедуру подтверждения соответствия, должна иметь маркировку единым знаком обращения продукции, которая наносится на каждую единицу продукции для детей и подростков, или товарный ярлык единицы продукции.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/>
      </w:r>
    </w:p>
    <w:p>
      <w:pPr>
        <w:pStyle w:val="Normal"/>
        <w:spacing w:lineRule="auto" w:line="240" w:before="0" w:after="0"/>
        <w:ind w:firstLine="567"/>
        <w:jc w:val="center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262626"/>
          <w:sz w:val="28"/>
          <w:szCs w:val="28"/>
          <w:lang w:eastAsia="ru-RU"/>
        </w:rPr>
        <w:t>Что делать, если потребителю продан детский товар (одежда обувь) ненадлежащего качества?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В случае, если потребителю продан товар ненадлежащего качества, то он вправе предъявить продавцу любое требование, предусмотренное статьей 18 Закона «О защите прав потребителей», а именно: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-потребовать замены на товар этой же марки (этих же модели и (или) артикула);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-потребовать замены на такой же товар другой марки (модели, артикула) с соответствующим перерасчетом покупной цены;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-потребовать соразмерного уменьшения покупной цены;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-потребовать незамедлительного безвозмездного устранения недостатков товара или возмещения расходов на их исправление потребителем или третьим лицом;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-отказаться от исполнения договора купли-продажи и потребовать возврата уплаченной за товар суммы. По требованию продавца и за его счет потребитель должен возвратить товар с недостатками.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 xml:space="preserve">Требование продавцу желательно предъявить в письменной форме: для этого составляется претензия в 2-х экземплярах (один для продавца, другой для потребителя) с указанием любого из вышеназванных требований. На вашем экземпляре продавец должен поставить отметку о принятии претензии. Если продавец не выполнил требование в срок указанный в законе, то </w:t>
      </w: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в</w:t>
      </w: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ы вправе обратиться в суд.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26262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62626"/>
          <w:sz w:val="28"/>
          <w:szCs w:val="28"/>
          <w:lang w:eastAsia="ru-RU"/>
        </w:rPr>
        <w:t>Следует заметить, что продавец обязан предоставить потребителю полную и достоверную информацию о товаре на русском языке. Если этого не было сделано, то у потребителя возникает отдельное право предъявить требование продавцу о возврате денег за товар и возмещения других убытков на этом основании (см. ст. 12 Закона «О защите прав потребителей»).</w:t>
      </w:r>
    </w:p>
    <w:p>
      <w:pPr>
        <w:pStyle w:val="Normal"/>
        <w:spacing w:before="0" w:after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before="0" w:after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TableParagraph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  <w:sz w:val="20"/>
          <w:szCs w:val="20"/>
        </w:rPr>
      </w:pPr>
      <w:r>
        <w:rPr>
          <w:b/>
          <w:sz w:val="20"/>
          <w:szCs w:val="20"/>
        </w:rPr>
        <w:t>Набережночелнинский</w:t>
      </w:r>
      <w:r>
        <w:rPr>
          <w:b/>
          <w:spacing w:val="-3"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филиал      </w:t>
      </w:r>
    </w:p>
    <w:p>
      <w:pPr>
        <w:pStyle w:val="TableParagraph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  <w:sz w:val="20"/>
          <w:szCs w:val="20"/>
        </w:rPr>
      </w:pPr>
      <w:r>
        <w:rPr>
          <w:b/>
          <w:sz w:val="20"/>
          <w:szCs w:val="20"/>
        </w:rPr>
        <w:t>Федерального</w:t>
      </w:r>
      <w:r>
        <w:rPr>
          <w:b/>
          <w:spacing w:val="-10"/>
          <w:sz w:val="20"/>
          <w:szCs w:val="20"/>
        </w:rPr>
        <w:t xml:space="preserve"> </w:t>
      </w:r>
      <w:r>
        <w:rPr>
          <w:b/>
          <w:sz w:val="20"/>
          <w:szCs w:val="20"/>
        </w:rPr>
        <w:t>бюджетного</w:t>
      </w:r>
      <w:r>
        <w:rPr>
          <w:b/>
          <w:spacing w:val="-10"/>
          <w:sz w:val="20"/>
          <w:szCs w:val="20"/>
        </w:rPr>
        <w:t xml:space="preserve"> </w:t>
      </w:r>
      <w:r>
        <w:rPr>
          <w:b/>
          <w:sz w:val="20"/>
          <w:szCs w:val="20"/>
        </w:rPr>
        <w:t>учреждения</w:t>
      </w:r>
      <w:r>
        <w:rPr>
          <w:b/>
          <w:spacing w:val="-10"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здравоохранения      </w:t>
      </w:r>
    </w:p>
    <w:p>
      <w:pPr>
        <w:pStyle w:val="TableParagraph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  <w:sz w:val="20"/>
          <w:szCs w:val="20"/>
        </w:rPr>
      </w:pPr>
      <w:r>
        <w:rPr>
          <w:b/>
          <w:sz w:val="20"/>
          <w:szCs w:val="20"/>
        </w:rPr>
        <w:t>«Центр</w:t>
      </w:r>
      <w:r>
        <w:rPr>
          <w:b/>
          <w:spacing w:val="-4"/>
          <w:sz w:val="20"/>
          <w:szCs w:val="20"/>
        </w:rPr>
        <w:t xml:space="preserve"> </w:t>
      </w:r>
      <w:r>
        <w:rPr>
          <w:b/>
          <w:sz w:val="20"/>
          <w:szCs w:val="20"/>
        </w:rPr>
        <w:t>гигиены</w:t>
      </w:r>
      <w:r>
        <w:rPr>
          <w:b/>
          <w:spacing w:val="-7"/>
          <w:sz w:val="20"/>
          <w:szCs w:val="20"/>
        </w:rPr>
        <w:t xml:space="preserve"> </w:t>
      </w:r>
      <w:r>
        <w:rPr>
          <w:b/>
          <w:sz w:val="20"/>
          <w:szCs w:val="20"/>
        </w:rPr>
        <w:t>и</w:t>
      </w:r>
      <w:r>
        <w:rPr>
          <w:b/>
          <w:spacing w:val="-2"/>
          <w:sz w:val="20"/>
          <w:szCs w:val="20"/>
        </w:rPr>
        <w:t xml:space="preserve"> эпидемиологии      </w:t>
      </w:r>
    </w:p>
    <w:p>
      <w:pPr>
        <w:pStyle w:val="TableParagraph"/>
        <w:widowControl w:val="false"/>
        <w:bidi w:val="0"/>
        <w:spacing w:lineRule="auto" w:line="240" w:before="0" w:after="0"/>
        <w:ind w:left="57" w:right="57" w:firstLine="510"/>
        <w:contextualSpacing/>
        <w:jc w:val="right"/>
        <w:rPr>
          <w:rFonts w:ascii="Times New Roman" w:hAnsi="Times New Roman"/>
          <w:sz w:val="20"/>
          <w:szCs w:val="20"/>
        </w:rPr>
      </w:pPr>
      <w:r>
        <w:rPr>
          <w:b/>
          <w:sz w:val="20"/>
          <w:szCs w:val="20"/>
        </w:rPr>
        <w:t>в</w:t>
      </w:r>
      <w:r>
        <w:rPr>
          <w:b/>
          <w:spacing w:val="-7"/>
          <w:sz w:val="20"/>
          <w:szCs w:val="20"/>
        </w:rPr>
        <w:t xml:space="preserve"> </w:t>
      </w:r>
      <w:r>
        <w:rPr>
          <w:b/>
          <w:sz w:val="20"/>
          <w:szCs w:val="20"/>
        </w:rPr>
        <w:t>Республике</w:t>
      </w:r>
      <w:r>
        <w:rPr>
          <w:b/>
          <w:spacing w:val="-5"/>
          <w:sz w:val="20"/>
          <w:szCs w:val="20"/>
        </w:rPr>
        <w:t xml:space="preserve"> </w:t>
      </w:r>
      <w:r>
        <w:rPr>
          <w:b/>
          <w:sz w:val="20"/>
          <w:szCs w:val="20"/>
        </w:rPr>
        <w:t>Татарстан</w:t>
      </w:r>
      <w:r>
        <w:rPr>
          <w:b/>
          <w:spacing w:val="-5"/>
          <w:sz w:val="20"/>
          <w:szCs w:val="20"/>
        </w:rPr>
        <w:t xml:space="preserve"> </w:t>
      </w:r>
      <w:r>
        <w:rPr>
          <w:b/>
          <w:spacing w:val="-2"/>
          <w:sz w:val="20"/>
          <w:szCs w:val="20"/>
        </w:rPr>
        <w:t xml:space="preserve">(Татарстан)»     </w:t>
      </w:r>
    </w:p>
    <w:p>
      <w:pPr>
        <w:pStyle w:val="Style15"/>
        <w:bidi w:val="0"/>
        <w:spacing w:lineRule="auto" w:line="240" w:before="0" w:after="0"/>
        <w:ind w:left="0" w:right="0" w:hanging="0"/>
        <w:contextualSpacing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pacing w:val="-2"/>
          <w:sz w:val="20"/>
          <w:szCs w:val="20"/>
        </w:rPr>
        <w:t xml:space="preserve">8 (8552) 46-41-52       </w:t>
      </w:r>
    </w:p>
    <w:p>
      <w:pPr>
        <w:pStyle w:val="Style15"/>
        <w:bidi w:val="0"/>
        <w:spacing w:lineRule="auto" w:line="240" w:before="0" w:after="0"/>
        <w:ind w:left="0" w:right="0" w:hanging="0"/>
        <w:contextualSpacing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pacing w:val="-2"/>
          <w:sz w:val="20"/>
          <w:szCs w:val="20"/>
        </w:rPr>
        <w:t xml:space="preserve">г.Набережные Челны, ул. Низаметдинова, 14.      </w:t>
      </w:r>
    </w:p>
    <w:sectPr>
      <w:type w:val="nextPage"/>
      <w:pgSz w:w="11906" w:h="16838"/>
      <w:pgMar w:left="1701" w:right="850" w:gutter="0" w:header="0" w:top="568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2"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7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Normal"/>
    <w:link w:val="11"/>
    <w:uiPriority w:val="9"/>
    <w:qFormat/>
    <w:rsid w:val="00aa163f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basedOn w:val="DefaultParagraphFont"/>
    <w:uiPriority w:val="9"/>
    <w:qFormat/>
    <w:rsid w:val="00aa163f"/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character" w:styleId="Strong">
    <w:name w:val="Strong"/>
    <w:basedOn w:val="DefaultParagraphFont"/>
    <w:uiPriority w:val="22"/>
    <w:qFormat/>
    <w:rsid w:val="00aa163f"/>
    <w:rPr>
      <w:b/>
      <w:bCs/>
    </w:rPr>
  </w:style>
  <w:style w:type="character" w:styleId="Style13">
    <w:name w:val="Emphasis"/>
    <w:basedOn w:val="DefaultParagraphFont"/>
    <w:uiPriority w:val="20"/>
    <w:qFormat/>
    <w:rsid w:val="00aa163f"/>
    <w:rPr>
      <w:i/>
      <w:iCs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rmalWeb">
    <w:name w:val="Normal (Web)"/>
    <w:basedOn w:val="Normal"/>
    <w:uiPriority w:val="99"/>
    <w:semiHidden/>
    <w:unhideWhenUsed/>
    <w:qFormat/>
    <w:rsid w:val="00aa163f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TableParagraph">
    <w:name w:val="Table Paragraph"/>
    <w:basedOn w:val="Normal"/>
    <w:qFormat/>
    <w:pPr>
      <w:ind w:left="99" w:right="0" w:hanging="0"/>
      <w:jc w:val="center"/>
    </w:pPr>
    <w:rPr>
      <w:rFonts w:ascii="Times New Roman" w:hAnsi="Times New Roman" w:eastAsia="Times New Roman" w:cs="Times New Roman"/>
      <w:lang w:val="ru-RU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Application>LibreOffice/7.5.6.2$Linux_X86_64 LibreOffice_project/50$Build-2</Application>
  <AppVersion>15.0000</AppVersion>
  <Pages>3</Pages>
  <Words>781</Words>
  <Characters>5463</Characters>
  <CharactersWithSpaces>6235</CharactersWithSpaces>
  <Paragraphs>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2025-12-12T06:46:00Z</dcterms:created>
  <dc:creator>Юрист</dc:creator>
  <dc:description/>
  <dc:language>ru-RU</dc:language>
  <cp:lastModifiedBy/>
  <dcterms:modified xsi:type="dcterms:W3CDTF">2025-12-15T15:30:45Z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