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color w:val="C9211E"/>
          <w:sz w:val="36"/>
          <w:szCs w:val="36"/>
        </w:rPr>
      </w:pPr>
      <w:bookmarkStart w:id="0" w:name="_GoBack"/>
      <w:bookmarkEnd w:id="0"/>
      <w:r>
        <w:rPr>
          <w:rFonts w:cs="Times New Roman" w:ascii="Times New Roman" w:hAnsi="Times New Roman"/>
          <w:b/>
          <w:color w:val="C9211E"/>
          <w:sz w:val="36"/>
          <w:szCs w:val="36"/>
        </w:rPr>
        <w:t>Новый закон о платформенной экономике: что изменится для маркетплейсов и их пользователей.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891540</wp:posOffset>
            </wp:positionH>
            <wp:positionV relativeFrom="paragraph">
              <wp:posOffset>127635</wp:posOffset>
            </wp:positionV>
            <wp:extent cx="4517390" cy="2700655"/>
            <wp:effectExtent l="0" t="0" r="0" b="0"/>
            <wp:wrapTopAndBottom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7390" cy="2700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С 1 октября 2026 года в России начнёт действовать Федеральный закон от 31 июля 2025 г. № 289 ФЗ «Об отдельных вопросах регулирования платформенной экономики в Российской Федерации». Документ, подписанный президентом Владимиром Путиным, вводит чёткие правила работы для цифровых торговых площадок и меняет условия взаимодействия между операторами платформ, партнёрами и покупателями.</w:t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b/>
          <w:bCs/>
          <w:i/>
          <w:i/>
          <w:iCs/>
          <w:color w:val="C9211E"/>
        </w:rPr>
      </w:pPr>
      <w:r>
        <w:rPr>
          <w:rFonts w:cs="Times New Roman" w:ascii="Times New Roman" w:hAnsi="Times New Roman"/>
          <w:b/>
          <w:bCs/>
          <w:i/>
          <w:iCs/>
          <w:color w:val="C9211E"/>
          <w:sz w:val="28"/>
          <w:szCs w:val="28"/>
        </w:rPr>
        <w:t>Что такое «платформенная экономика»?</w:t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Закон впервые закрепляет в правовой системе страны концепцию «платформенной экономики» она охватывает отношения между участниками, взаимодействующими через цифровые платформы. Посредническая цифровая платформа (к примеру, маркетплейс) теперь официально определяется как инструмент для заключения гражданско-правовых договоров между операторами, партнёрами и пользователями.</w:t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b/>
          <w:bCs/>
          <w:i/>
          <w:i/>
          <w:iCs/>
          <w:color w:val="127622"/>
        </w:rPr>
      </w:pPr>
      <w:r>
        <w:rPr>
          <w:rFonts w:cs="Times New Roman" w:ascii="Times New Roman" w:hAnsi="Times New Roman"/>
          <w:b/>
          <w:bCs/>
          <w:i/>
          <w:iCs/>
          <w:color w:val="127622"/>
          <w:sz w:val="28"/>
          <w:szCs w:val="28"/>
        </w:rPr>
        <w:t>Ключевые требования к операторам</w:t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Операторами платформ могут быть юрлица (в т. ч. иностранные), ИП и иностранные граждане. Они обязаны: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240" w:before="0" w:after="0"/>
        <w:ind w:left="340" w:right="0" w:hanging="34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обеспечивать равный и беспрепятственный доступ к платформе для всех желающих;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240" w:before="0" w:after="0"/>
        <w:ind w:left="340" w:right="0" w:hanging="34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проверять сведения о потенциальных партнёрах, например, через ЕГРЮЛ/ЕГРИП или Единую систему идентификации и аутентификации;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240" w:before="0" w:after="0"/>
        <w:ind w:left="340" w:right="0" w:hanging="34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заранее (минимум за 45 дней) уведомлять партнёров об изменениях, затрагивающих: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меры ответственности;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размер комиссии;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порядок расчёта вознаграждения;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правила приёмки, хранения, доставки, выдачи или возврата товара и т. д.;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предоставлять продавцам техническую возможность вносить информацию о товарах и услугах, включая данные о себе и необходимые документы (лицензии, сертификаты);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контролировать логистическую инфраструктуру все объекты должны соответствовать нормам пожарной безопасности и санитарно-эпидемиологическим требованиям.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b/>
          <w:bCs/>
          <w:i/>
          <w:i/>
          <w:iCs/>
          <w:color w:val="127622"/>
        </w:rPr>
      </w:pPr>
      <w:r>
        <w:rPr>
          <w:rFonts w:cs="Times New Roman" w:ascii="Times New Roman" w:hAnsi="Times New Roman"/>
          <w:b/>
          <w:bCs/>
          <w:i/>
          <w:iCs/>
          <w:color w:val="127622"/>
          <w:sz w:val="28"/>
          <w:szCs w:val="28"/>
        </w:rPr>
        <w:t>Права операторов и гарантии для партнёров</w:t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Операторы маркетплейсов получат право:</w:t>
      </w:r>
    </w:p>
    <w:p>
      <w:pPr>
        <w:pStyle w:val="Normal"/>
        <w:numPr>
          <w:ilvl w:val="0"/>
          <w:numId w:val="3"/>
        </w:numPr>
        <w:spacing w:lineRule="auto" w:line="240"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ограничивать или прекращать размещение карточек товаров;</w:t>
      </w:r>
    </w:p>
    <w:p>
      <w:pPr>
        <w:pStyle w:val="Normal"/>
        <w:numPr>
          <w:ilvl w:val="0"/>
          <w:numId w:val="3"/>
        </w:numPr>
        <w:spacing w:lineRule="auto" w:line="240"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контролировать доступ партнёров к личным кабинетам.</w:t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При этом, если доступ ограничен, оператор обязан обеспечить партнёра доступом к разме-щённым на платформе данным чтобы тот мог продолжать свою деятельность.</w:t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b/>
          <w:bCs/>
          <w:i/>
          <w:i/>
          <w:iCs/>
          <w:color w:val="127622"/>
        </w:rPr>
      </w:pPr>
      <w:r>
        <w:rPr>
          <w:rFonts w:cs="Times New Roman" w:ascii="Times New Roman" w:hAnsi="Times New Roman"/>
          <w:b/>
          <w:bCs/>
          <w:i/>
          <w:iCs/>
          <w:color w:val="127622"/>
          <w:sz w:val="28"/>
          <w:szCs w:val="28"/>
        </w:rPr>
        <w:t>Защита прав покупателей</w:t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Закон регламентирует процедуру рассмотрения жалоб и разрешения споров:</w:t>
      </w:r>
    </w:p>
    <w:p>
      <w:pPr>
        <w:pStyle w:val="Normal"/>
        <w:numPr>
          <w:ilvl w:val="0"/>
          <w:numId w:val="4"/>
        </w:numPr>
        <w:spacing w:lineRule="auto" w:line="240"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оператор обязан рассмотреть обращение и зафиксировать решение в электронном виде в течение 15 дней;</w:t>
      </w:r>
    </w:p>
    <w:p>
      <w:pPr>
        <w:pStyle w:val="Normal"/>
        <w:numPr>
          <w:ilvl w:val="0"/>
          <w:numId w:val="4"/>
        </w:numPr>
        <w:spacing w:lineRule="auto" w:line="240"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если между оператором и продавцом есть соглашение, покупатель сможет отправить товар на обмен или устранение недостатков в ближайший пункт выдачи;</w:t>
      </w:r>
    </w:p>
    <w:p>
      <w:pPr>
        <w:pStyle w:val="Normal"/>
        <w:numPr>
          <w:ilvl w:val="0"/>
          <w:numId w:val="4"/>
        </w:numPr>
        <w:spacing w:lineRule="auto" w:line="240"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оператор отвечает за всю логистику обмена или возврата, а деньги возвращаются тем же способом, которым была произведена оплата.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720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</w:r>
      <w:r>
        <w:rPr>
          <w:rFonts w:cs="Times New Roman" w:ascii="Times New Roman" w:hAnsi="Times New Roman"/>
          <w:b/>
          <w:bCs/>
          <w:i/>
          <w:iCs/>
          <w:color w:val="C9211E"/>
          <w:sz w:val="28"/>
          <w:szCs w:val="28"/>
        </w:rPr>
        <w:t>Новый закон призван упорядочить работу цифровых платформ, повысить прозрачность взаимодействия между всеми участниками рынка и защитить права покупателей. Маркетплейсам и интернет сервисам уже сейчас стоит изучить требования и подготовиться к изменениям, чтобы с 1 октября 2026 года соответствовать новым правилам.</w:t>
      </w:r>
    </w:p>
    <w:p>
      <w:pPr>
        <w:pStyle w:val="Normal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  <w:t xml:space="preserve">Набережночелнинский территориальный орган 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  <w:t xml:space="preserve">                                  </w:t>
      </w:r>
      <w:r>
        <w:rPr>
          <w:rFonts w:cs="Times New Roman" w:ascii="Times New Roman" w:hAnsi="Times New Roman"/>
          <w:b/>
          <w:i/>
          <w:sz w:val="24"/>
          <w:szCs w:val="24"/>
        </w:rPr>
        <w:t>Госалкогольинспекции Республики Татарстан</w:t>
      </w:r>
    </w:p>
    <w:p>
      <w:pPr>
        <w:pStyle w:val="Normal"/>
        <w:spacing w:before="0" w:after="20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134" w:right="850" w:gutter="0" w:header="0" w:top="1134" w:footer="0" w:bottom="85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89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9356f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Маркеры"/>
    <w:qFormat/>
    <w:rPr>
      <w:rFonts w:ascii="OpenSymbol" w:hAnsi="OpenSymbol" w:eastAsia="OpenSymbol" w:cs="OpenSymbol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Astra Serif" w:hAnsi="PT Astra Serif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CDB373-3F7E-4DE1-9B78-5BF20EAF1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Application>LibreOffice/7.5.6.2$Linux_X86_64 LibreOffice_project/50$Build-2</Application>
  <AppVersion>15.0000</AppVersion>
  <Pages>2</Pages>
  <Words>376</Words>
  <Characters>2628</Characters>
  <CharactersWithSpaces>3004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2026-04-06T07:22:00Z</dcterms:created>
  <dc:creator>тестовый</dc:creator>
  <dc:description/>
  <dc:language>ru-RU</dc:language>
  <cp:lastModifiedBy/>
  <dcterms:modified xsi:type="dcterms:W3CDTF">2026-09-25T08:55:15Z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