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color w:val="3465A4"/>
          <w:sz w:val="32"/>
          <w:szCs w:val="32"/>
        </w:rPr>
      </w:pPr>
      <w:r>
        <w:rPr>
          <w:rFonts w:cs="Times New Roman" w:ascii="Times New Roman" w:hAnsi="Times New Roman"/>
          <w:b/>
          <w:color w:val="3465A4" w:themeShade="bf"/>
          <w:sz w:val="32"/>
          <w:szCs w:val="32"/>
          <w:lang w:eastAsia="ru-RU"/>
        </w:rPr>
        <w:t>ОБ УВЕЛИЧЕНИИ КОЭФФИЦИЕНТА ПЛАТЫ</w:t>
      </w:r>
    </w:p>
    <w:p>
      <w:pPr>
        <w:pStyle w:val="NoSpacing"/>
        <w:jc w:val="center"/>
        <w:rPr>
          <w:color w:val="3465A4"/>
          <w:sz w:val="32"/>
          <w:szCs w:val="32"/>
        </w:rPr>
      </w:pPr>
      <w:r>
        <w:rPr>
          <w:rFonts w:cs="Times New Roman" w:ascii="Times New Roman" w:hAnsi="Times New Roman"/>
          <w:b/>
          <w:color w:val="3465A4" w:themeShade="bf"/>
          <w:sz w:val="32"/>
          <w:szCs w:val="32"/>
          <w:lang w:eastAsia="ru-RU"/>
        </w:rPr>
        <w:t>ЗА ХОЛОДНОЕ ВОДОСНАБЖЕНИЕ</w:t>
      </w:r>
    </w:p>
    <w:p>
      <w:pPr>
        <w:pStyle w:val="NoSpacing"/>
        <w:jc w:val="center"/>
        <w:rPr>
          <w:color w:val="3465A4"/>
          <w:sz w:val="32"/>
          <w:szCs w:val="32"/>
        </w:rPr>
      </w:pPr>
      <w:r>
        <w:rPr>
          <w:rFonts w:cs="Times New Roman" w:ascii="Times New Roman" w:hAnsi="Times New Roman"/>
          <w:b/>
          <w:color w:val="3465A4" w:themeShade="bf"/>
          <w:sz w:val="32"/>
          <w:szCs w:val="32"/>
          <w:lang w:eastAsia="ru-RU"/>
        </w:rPr>
        <w:t xml:space="preserve"> </w:t>
      </w:r>
      <w:r>
        <w:rPr>
          <w:rFonts w:cs="Times New Roman" w:ascii="Times New Roman" w:hAnsi="Times New Roman"/>
          <w:b/>
          <w:color w:val="3465A4" w:themeShade="bf"/>
          <w:sz w:val="32"/>
          <w:szCs w:val="32"/>
          <w:lang w:eastAsia="ru-RU"/>
        </w:rPr>
        <w:t xml:space="preserve">ПРИ ОТСУТСТВИИ СЧЕТЧИКОВ 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3">
        <w:r>
          <w:drawing>
            <wp:anchor behindDoc="0" distT="0" distB="0" distL="114300" distR="114300" simplePos="0" locked="0" layoutInCell="0" allowOverlap="1" relativeHeight="2">
              <wp:simplePos x="0" y="0"/>
              <wp:positionH relativeFrom="column">
                <wp:posOffset>-3810</wp:posOffset>
              </wp:positionH>
              <wp:positionV relativeFrom="paragraph">
                <wp:posOffset>-635</wp:posOffset>
              </wp:positionV>
              <wp:extent cx="2336165" cy="1533525"/>
              <wp:effectExtent l="0" t="0" r="0" b="0"/>
              <wp:wrapSquare wrapText="bothSides"/>
              <wp:docPr id="1" name="Рисунок 1" descr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Рисунок 1" descr=""/>
                      <pic:cNvPicPr>
                        <a:picLocks noChangeAspect="1" noChangeArrowheads="1"/>
                      </pic:cNvPicPr>
                    </pic:nvPicPr>
                    <pic:blipFill>
                      <a:blip r:embed="rId2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336165" cy="15335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rFonts w:cs="Times New Roman" w:ascii="Times New Roman" w:hAnsi="Times New Roman"/>
            <w:sz w:val="28"/>
            <w:szCs w:val="28"/>
            <w:lang w:eastAsia="ru-RU"/>
          </w:rPr>
          <w:t>Постановлением Правительства РФ от 25.11.2025 г. № 1871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«О внесении изменений в постановление Правительства Российской Федерации от 06.05.2011 г. № 354»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(далее – Постановление) </w:t>
      </w:r>
      <w:r>
        <w:rPr>
          <w:rFonts w:cs="Times New Roman" w:ascii="Times New Roman" w:hAnsi="Times New Roman"/>
          <w:b/>
          <w:color w:val="3465A4" w:themeShade="bf"/>
          <w:sz w:val="28"/>
          <w:szCs w:val="28"/>
          <w:lang w:eastAsia="ru-RU"/>
        </w:rPr>
        <w:t>увеличен вдвое повышающий коэффициент для исчисления платы за холодное водоснабжение для собственников жилья (с 1,5 до 3), у которых нет работающего индивидуального прибора учета холодного водоснабжения</w:t>
      </w:r>
      <w:r>
        <w:rPr>
          <w:rFonts w:cs="Times New Roman" w:ascii="Times New Roman" w:hAnsi="Times New Roman"/>
          <w:sz w:val="28"/>
          <w:szCs w:val="28"/>
          <w:lang w:eastAsia="ru-RU"/>
        </w:rPr>
        <w:t>, хотя техническая возможность поставить такой счетчик есть.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Размер этого коэффициента установлен в п. 60  </w:t>
      </w:r>
      <w:r>
        <w:fldChar w:fldCharType="begin"/>
      </w:r>
      <w:r>
        <w:rPr>
          <w:sz w:val="28"/>
          <w:szCs w:val="28"/>
          <w:rFonts w:cs="Times New Roman" w:ascii="Times New Roman" w:hAnsi="Times New Roman"/>
          <w:lang w:eastAsia="ru-RU"/>
        </w:rPr>
        <w:instrText xml:space="preserve"> HYPERLINK "https://base.garant.ru/12186043/" \l "block_1000"</w:instrText>
      </w:r>
      <w:r>
        <w:rPr>
          <w:sz w:val="28"/>
          <w:szCs w:val="28"/>
          <w:rFonts w:cs="Times New Roman" w:ascii="Times New Roman" w:hAnsi="Times New Roman"/>
          <w:lang w:eastAsia="ru-RU"/>
        </w:rPr>
        <w:fldChar w:fldCharType="separate"/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Правил </w:t>
      </w:r>
      <w:r>
        <w:rPr>
          <w:sz w:val="28"/>
          <w:szCs w:val="28"/>
          <w:rFonts w:cs="Times New Roman" w:ascii="Times New Roman" w:hAnsi="Times New Roman"/>
          <w:lang w:eastAsia="ru-RU"/>
        </w:rPr>
        <w:fldChar w:fldCharType="end"/>
      </w:r>
      <w:r>
        <w:rPr>
          <w:color w:val="22272F"/>
        </w:rPr>
        <w:br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предоставления коммунальных услуг собственникам и пользователям помещений в многоквартирных домах и жилых домов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, утвержденных 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Постановлением Правительства РФ от 06.05.2011 г. № 354 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(далее – Правила). 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В соответствии с п. 60 Правил, по истечении предельного количества расчетных периодов, указанных в п. 59 настоящих Правил, за которые плата за коммунальную услугу определяется по данным, предусмотренным указанным пунктом, плата за коммунальную услугу, предоставленную в жилое помещение, рассчитывается в соответствии с </w:t>
      </w:r>
      <w:r>
        <w:fldChar w:fldCharType="begin"/>
      </w:r>
      <w:r>
        <w:rPr>
          <w:sz w:val="28"/>
          <w:shd w:fill="FFFFFF" w:val="clear"/>
          <w:szCs w:val="28"/>
          <w:rFonts w:cs="Times New Roman" w:ascii="Times New Roman" w:hAnsi="Times New Roman"/>
        </w:rPr>
        <w:instrText xml:space="preserve"> HYPERLINK "https://internet.garant.ru/" \l "/document/12186043/entry/42"</w:instrText>
      </w:r>
      <w:r>
        <w:rPr>
          <w:sz w:val="28"/>
          <w:shd w:fill="FFFFFF" w:val="clear"/>
          <w:szCs w:val="28"/>
          <w:rFonts w:cs="Times New Roman" w:ascii="Times New Roman" w:hAnsi="Times New Roman"/>
        </w:rPr>
        <w:fldChar w:fldCharType="separate"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п. 42</w:t>
      </w:r>
      <w:r>
        <w:rPr>
          <w:sz w:val="28"/>
          <w:shd w:fill="FFFFFF" w:val="clear"/>
          <w:szCs w:val="28"/>
          <w:rFonts w:cs="Times New Roman" w:ascii="Times New Roman" w:hAnsi="Times New Roman"/>
        </w:rPr>
        <w:fldChar w:fldCharType="end"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  Правил в случаях, предусмотренных </w:t>
      </w:r>
      <w:r>
        <w:fldChar w:fldCharType="begin"/>
      </w:r>
      <w:r>
        <w:rPr>
          <w:sz w:val="28"/>
          <w:shd w:fill="FFFFFF" w:val="clear"/>
          <w:szCs w:val="28"/>
          <w:rFonts w:cs="Times New Roman" w:ascii="Times New Roman" w:hAnsi="Times New Roman"/>
        </w:rPr>
        <w:instrText xml:space="preserve"> HYPERLINK "https://internet.garant.ru/" \l "/document/12186043/entry/591"</w:instrText>
      </w:r>
      <w:r>
        <w:rPr>
          <w:sz w:val="28"/>
          <w:shd w:fill="FFFFFF" w:val="clear"/>
          <w:szCs w:val="28"/>
          <w:rFonts w:cs="Times New Roman" w:ascii="Times New Roman" w:hAnsi="Times New Roman"/>
        </w:rPr>
        <w:fldChar w:fldCharType="separate"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п.п. «а»</w:t>
      </w:r>
      <w:r>
        <w:rPr>
          <w:sz w:val="28"/>
          <w:shd w:fill="FFFFFF" w:val="clear"/>
          <w:szCs w:val="28"/>
          <w:rFonts w:cs="Times New Roman" w:ascii="Times New Roman" w:hAnsi="Times New Roman"/>
        </w:rPr>
        <w:fldChar w:fldCharType="end"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 и </w:t>
      </w:r>
      <w:r>
        <w:fldChar w:fldCharType="begin"/>
      </w:r>
      <w:r>
        <w:rPr>
          <w:sz w:val="28"/>
          <w:shd w:fill="FFFFFF" w:val="clear"/>
          <w:szCs w:val="28"/>
          <w:rFonts w:cs="Times New Roman" w:ascii="Times New Roman" w:hAnsi="Times New Roman"/>
        </w:rPr>
        <w:instrText xml:space="preserve"> HYPERLINK "https://internet.garant.ru/" \l "/document/12186043/entry/593"</w:instrText>
      </w:r>
      <w:r>
        <w:rPr>
          <w:sz w:val="28"/>
          <w:shd w:fill="FFFFFF" w:val="clear"/>
          <w:szCs w:val="28"/>
          <w:rFonts w:cs="Times New Roman" w:ascii="Times New Roman" w:hAnsi="Times New Roman"/>
        </w:rPr>
        <w:fldChar w:fldCharType="separate"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«в» п. 59</w:t>
      </w:r>
      <w:r>
        <w:rPr>
          <w:sz w:val="28"/>
          <w:shd w:fill="FFFFFF" w:val="clear"/>
          <w:szCs w:val="28"/>
          <w:rFonts w:cs="Times New Roman" w:ascii="Times New Roman" w:hAnsi="Times New Roman"/>
        </w:rPr>
        <w:fldChar w:fldCharType="end"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 настоящих Правил, исходя из нормативов потребления коммунальных услуг с применением повышающего коэффициента, величина которого принимается равной 1,5 (при расчете размера платы за коммунальную услугу по холодному водоснабжению - 3), а в случаях, предусмотренных </w:t>
      </w:r>
      <w:r>
        <w:fldChar w:fldCharType="begin"/>
      </w:r>
      <w:r>
        <w:rPr>
          <w:sz w:val="28"/>
          <w:shd w:fill="FFFFFF" w:val="clear"/>
          <w:szCs w:val="28"/>
          <w:rFonts w:cs="Times New Roman" w:ascii="Times New Roman" w:hAnsi="Times New Roman"/>
        </w:rPr>
        <w:instrText xml:space="preserve"> HYPERLINK "https://internet.garant.ru/" \l "/document/12186043/entry/592"</w:instrText>
      </w:r>
      <w:r>
        <w:rPr>
          <w:sz w:val="28"/>
          <w:shd w:fill="FFFFFF" w:val="clear"/>
          <w:szCs w:val="28"/>
          <w:rFonts w:cs="Times New Roman" w:ascii="Times New Roman" w:hAnsi="Times New Roman"/>
        </w:rPr>
        <w:fldChar w:fldCharType="separate"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п.п. «б» п.</w:t>
      </w:r>
      <w:r>
        <w:rPr>
          <w:sz w:val="28"/>
          <w:shd w:fill="FFFFFF" w:val="clear"/>
          <w:szCs w:val="28"/>
          <w:rFonts w:cs="Times New Roman" w:ascii="Times New Roman" w:hAnsi="Times New Roman"/>
        </w:rPr>
        <w:fldChar w:fldCharType="end"/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  <w:shd w:fill="FFFFFF" w:val="clear"/>
        </w:rPr>
        <w:t> 59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 настоящих Правил, исходя из нормативов потребления коммунальных услуг.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Применение новых повышающих коэффициентов, предусмотренных Постановлением № 1871, возможно при расчете размера платы за услугу холодного водоснабжения, предоставленную в декабре 2025 года, поскольку на момент расчета стоимости такой услуги (после расчетного периода, то есть после декабря 2025 года) изменения вступили в силу.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/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/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b/>
          <w:sz w:val="22"/>
          <w:szCs w:val="22"/>
        </w:rPr>
        <w:t>Набережночелнинский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филиал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b/>
          <w:sz w:val="22"/>
          <w:szCs w:val="22"/>
        </w:rPr>
        <w:t>Федерального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бюджетного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учреждения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здравоохранения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b/>
          <w:sz w:val="22"/>
          <w:szCs w:val="22"/>
        </w:rPr>
        <w:t>«Центр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гигиены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и</w:t>
      </w:r>
      <w:r>
        <w:rPr>
          <w:b/>
          <w:spacing w:val="-2"/>
          <w:sz w:val="22"/>
          <w:szCs w:val="22"/>
        </w:rPr>
        <w:t xml:space="preserve"> эпидемиологии </w:t>
      </w:r>
      <w:r>
        <w:rPr>
          <w:b/>
          <w:sz w:val="22"/>
          <w:szCs w:val="22"/>
        </w:rPr>
        <w:t>в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Республике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Татарстан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pacing w:val="-2"/>
          <w:sz w:val="22"/>
          <w:szCs w:val="22"/>
        </w:rPr>
        <w:t xml:space="preserve">(Татарстан)»     </w:t>
      </w:r>
    </w:p>
    <w:p>
      <w:pPr>
        <w:pStyle w:val="Style16"/>
        <w:bidi w:val="0"/>
        <w:spacing w:lineRule="auto" w:line="240" w:before="0" w:after="0"/>
        <w:ind w:left="0" w:right="0" w:hanging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г.Набережные Челны, ул. Низаметдинова, 14. </w:t>
      </w: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тел. </w:t>
      </w: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8 (8552) 46-41-52      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2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b2cd7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10" w:customStyle="1">
    <w:name w:val="s_10"/>
    <w:basedOn w:val="DefaultParagraphFont"/>
    <w:qFormat/>
    <w:rsid w:val="003965a9"/>
    <w:rPr/>
  </w:style>
  <w:style w:type="character" w:styleId="-">
    <w:name w:val="Hyperlink"/>
    <w:basedOn w:val="DefaultParagraphFont"/>
    <w:uiPriority w:val="99"/>
    <w:semiHidden/>
    <w:unhideWhenUsed/>
    <w:rsid w:val="003965a9"/>
    <w:rPr>
      <w:color w:val="0000FF"/>
      <w:u w:val="single"/>
    </w:rPr>
  </w:style>
  <w:style w:type="character" w:styleId="Style14">
    <w:name w:val="Emphasis"/>
    <w:basedOn w:val="DefaultParagraphFont"/>
    <w:uiPriority w:val="20"/>
    <w:qFormat/>
    <w:rsid w:val="0067328d"/>
    <w:rPr>
      <w:i/>
      <w:iCs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1" w:customStyle="1">
    <w:name w:val="s_1"/>
    <w:basedOn w:val="Normal"/>
    <w:qFormat/>
    <w:rsid w:val="003965a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Spacing">
    <w:name w:val="No Spacing"/>
    <w:uiPriority w:val="1"/>
    <w:qFormat/>
    <w:rsid w:val="00593e5a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TableParagraph">
    <w:name w:val="Table Paragraph"/>
    <w:basedOn w:val="Normal"/>
    <w:qFormat/>
    <w:pPr>
      <w:ind w:left="99" w:right="0" w:hanging="0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base.garant.ru/413165645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1537</TotalTime>
  <Application>LibreOffice/7.5.6.2$Linux_X86_64 LibreOffice_project/50$Build-2</Application>
  <AppVersion>15.0000</AppVersion>
  <Pages>1</Pages>
  <Words>262</Words>
  <Characters>1779</Characters>
  <CharactersWithSpaces>2051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2026-01-12T12:47:00Z</dcterms:created>
  <dc:creator>Карманова Галина Петровна</dc:creator>
  <dc:description/>
  <dc:language>ru-RU</dc:language>
  <cp:lastModifiedBy/>
  <dcterms:modified xsi:type="dcterms:W3CDTF">2026-02-25T09:27:48Z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