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png" ContentType="image/pn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C00000"/>
          <w:sz w:val="40"/>
          <w:szCs w:val="4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C00000"/>
          <w:sz w:val="40"/>
          <w:szCs w:val="40"/>
          <w:lang w:eastAsia="ru-RU"/>
        </w:rPr>
        <w:t xml:space="preserve">ОГРАНИЧЕНИЯ НА СНЯТИЕ НАЛИЧНЫХ СРЕДСТВ В БАНКОМАТАХ </w:t>
      </w:r>
      <w:bookmarkStart w:id="0" w:name="_GoBack"/>
      <w:bookmarkEnd w:id="0"/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С 1 сентября 2025 года </w:t>
      </w:r>
      <w: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3810</wp:posOffset>
            </wp:positionH>
            <wp:positionV relativeFrom="paragraph">
              <wp:posOffset>3175</wp:posOffset>
            </wp:positionV>
            <wp:extent cx="2335530" cy="1733550"/>
            <wp:effectExtent l="0" t="0" r="0" b="0"/>
            <wp:wrapSquare wrapText="bothSides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53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целях противодействия (борьбы) с мошенничеством в сфере финансовых услуг банки тщательно следят за подозрительными операциями. И теперь перед выдачей наличных денежных средств через банкомат  банк должен будет проводить проверку.</w:t>
      </w:r>
    </w:p>
    <w:p>
      <w:pPr>
        <w:pStyle w:val="NoSpacing"/>
        <w:ind w:firstLine="851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В Приказе Банка России от 7 августа 2025 г. № ОД-1765 «Об установлении признаков выдачи наличных денежных средств без добровольного согласия клиента с использованием банкоматов» 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указаны признаки подозрительных операций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, которыми будут руководствоваться банки и 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ограничивать снятие через банкомат наличных денежных средств, если операция покажется им подозрительной.</w:t>
      </w:r>
    </w:p>
    <w:p>
      <w:pPr>
        <w:pStyle w:val="NoSpacing"/>
        <w:shd w:val="clear" w:color="auto" w:fill="FFFFFF"/>
        <w:tabs>
          <w:tab w:val="clear" w:pos="708"/>
          <w:tab w:val="left" w:pos="1134" w:leader="none"/>
        </w:tabs>
        <w:ind w:firstLine="851"/>
        <w:jc w:val="both"/>
        <w:rPr>
          <w:rStyle w:val="Strong"/>
          <w:rFonts w:ascii="Times New Roman" w:hAnsi="Times New Roman" w:cs="Times New Roman"/>
          <w:color w:val="C00000"/>
          <w:sz w:val="28"/>
          <w:szCs w:val="28"/>
          <w:shd w:fill="FFFFFF" w:val="clear"/>
        </w:rPr>
      </w:pPr>
      <w:r>
        <w:rPr>
          <w:rStyle w:val="Strong"/>
          <w:rFonts w:cs="Times New Roman" w:ascii="Times New Roman" w:hAnsi="Times New Roman"/>
          <w:b w:val="false"/>
          <w:sz w:val="28"/>
          <w:szCs w:val="28"/>
          <w:shd w:fill="FFFFFF" w:val="clear"/>
        </w:rPr>
        <w:t>Л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имит на выдачу наличных в банкомате</w:t>
      </w:r>
      <w:r>
        <w:rPr>
          <w:rStyle w:val="Strong"/>
          <w:rFonts w:cs="Times New Roman" w:ascii="Times New Roman" w:hAnsi="Times New Roman"/>
          <w:color w:val="C00000"/>
          <w:sz w:val="28"/>
          <w:szCs w:val="28"/>
          <w:shd w:fill="FFFFFF" w:val="clear"/>
        </w:rPr>
        <w:t xml:space="preserve"> -  50 000 рублей в сутки </w:t>
      </w:r>
      <w:r>
        <w:rPr>
          <w:rStyle w:val="Strong"/>
          <w:rFonts w:cs="Times New Roman" w:ascii="Times New Roman" w:hAnsi="Times New Roman"/>
          <w:b w:val="false"/>
          <w:sz w:val="28"/>
          <w:szCs w:val="28"/>
          <w:shd w:fill="FFFFFF" w:val="clear"/>
        </w:rPr>
        <w:t>п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рименяется при подозрении банка на то, что клиент снимает деньги под влиянием мошенников.</w:t>
      </w:r>
      <w:r>
        <w:rPr>
          <w:rFonts w:cs="Arial" w:ascii="Arial" w:hAnsi="Arial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Если операция подпадет под критерии возможного мошенничества, то банк уведомит клиента об этом и установит 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ограничения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на выдачу наличных на 48 часов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  <w:r>
        <w:rPr>
          <w:rStyle w:val="Strong"/>
          <w:rFonts w:cs="Times New Roman" w:ascii="Times New Roman" w:hAnsi="Times New Roman"/>
          <w:color w:val="C00000"/>
          <w:sz w:val="28"/>
          <w:szCs w:val="28"/>
          <w:shd w:fill="FFFFFF" w:val="clear"/>
        </w:rPr>
        <w:t xml:space="preserve"> </w:t>
      </w:r>
    </w:p>
    <w:p>
      <w:pPr>
        <w:pStyle w:val="NoSpacing"/>
        <w:shd w:val="clear" w:color="auto" w:fill="FFFFFF"/>
        <w:tabs>
          <w:tab w:val="clear" w:pos="708"/>
          <w:tab w:val="left" w:pos="1134" w:leader="none"/>
        </w:tabs>
        <w:ind w:firstLine="851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Style w:val="Strong"/>
          <w:rFonts w:cs="Times New Roman" w:ascii="Times New Roman" w:hAnsi="Times New Roman"/>
          <w:b w:val="false"/>
          <w:sz w:val="28"/>
          <w:szCs w:val="28"/>
          <w:shd w:fill="FFFFFF" w:val="clear"/>
        </w:rPr>
        <w:t>Лимит на выдачу наличных в размере</w:t>
      </w:r>
      <w:r>
        <w:rPr>
          <w:rStyle w:val="Strong"/>
          <w:rFonts w:cs="Times New Roman" w:ascii="Times New Roman" w:hAnsi="Times New Roman"/>
          <w:sz w:val="28"/>
          <w:szCs w:val="28"/>
          <w:shd w:fill="FFFFFF" w:val="clear"/>
        </w:rPr>
        <w:t xml:space="preserve"> </w:t>
      </w:r>
      <w:r>
        <w:rPr>
          <w:rStyle w:val="Strong"/>
          <w:rFonts w:cs="Times New Roman" w:ascii="Times New Roman" w:hAnsi="Times New Roman"/>
          <w:color w:val="C00000"/>
          <w:sz w:val="28"/>
          <w:szCs w:val="28"/>
          <w:shd w:fill="FFFFFF" w:val="clear"/>
        </w:rPr>
        <w:t>100 000 рублей в месяц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касается лиц, попавших в базу данных Банка России о случаях и попытках осуществления переводов денежных средств без добровольного согласия клиента. 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Снять более крупную сумму будет возможно, но только в отделении банка.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К признакам подозрительной операции относится: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 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>нехарактерное для человека поведение при снятии денег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, сумма, которую обычно клиент не снимает, нетипичное время или местонахождение банкомата, частота снятия;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>наличие превышения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, установленного правилами платежной системы времени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>направления ответа на запрос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;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>несоответствие способа направления запроса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на выдачу наличных денежных (раньше клиент снимал деньги с помощью карты, а теперь с помощью QR-кода);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>направление запроса на выдачу наличных денежных средств в течение 24 часов с момента: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предоставления кредитных денежных средств или кредитной карты, увеличения лимита на выдачу или лимита по кредитным картам (после получения кредитной карты сняли с нее деньги); поступления более 200 тыс. рублей на банковский счет (вклад) с использованием СПБ; досрочного расторжения договора банковского вклада на сумму более 200 тыс. руб.;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>наличие информации об уровне риска операции без добровольного согласия клиента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(банк зафиксировал подозрительную операцию).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 xml:space="preserve">получение информации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от операторов связи, владельцев мессенджеров, владельцев сайтов,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>о том, что в период не менее шести часов до момента направления запроса на выдачу денежных средств ими выявлены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: телефонные переговоры, не соответствующие характеру (периодичности (частоте), продолжительности) обычно совершаемых клиентом телефонных переговоров до или во время снятия наличных; получение нетипичных сообщений от новых адресатов, в том числе в мессенджерах и (или) по электронной почте;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color w:val="C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 xml:space="preserve">получение информации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от операторов связи, владельцев мессенджеров, владельцев сайтов, а также выявленной кредитной организацией: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>о вредоносных программах на устройствах абонента; об использовании нетипичного провайдера связи, операционной системы, приложения пользователя; о смене абонентского номера; об изменении устройства, с применением которого осуществляется направление запроса на выдачу наличных денежных средств;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 xml:space="preserve">наличие информации о пяти и более отказах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выдаче наличных денежных средств в течение календарного дня;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both"/>
        <w:rPr>
          <w:rFonts w:ascii="Arial" w:hAnsi="Arial" w:eastAsia="Times New Roman" w:cs="Arial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C00000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C00000"/>
          <w:sz w:val="28"/>
          <w:szCs w:val="28"/>
          <w:lang w:eastAsia="ru-RU"/>
        </w:rPr>
        <w:t>совпадение сведений с информацией из государственной системы противодействия правонарушениям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(если банк узнал о том, что клиент совершает подозрительные операции).</w:t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right"/>
        <w:rPr>
          <w:rFonts w:ascii="Times New Roman" w:hAnsi="Times New Roman"/>
          <w:b/>
          <w:bCs/>
        </w:rPr>
      </w:pPr>
      <w:r>
        <w:rPr>
          <w:rFonts w:eastAsia="Times New Roman" w:cs="Times New Roman" w:ascii="Times New Roman" w:hAnsi="Times New Roman"/>
          <w:b/>
          <w:bCs/>
          <w:sz w:val="22"/>
          <w:szCs w:val="22"/>
          <w:lang w:eastAsia="ru-RU"/>
        </w:rPr>
        <w:t>Набережночелнинский</w:t>
      </w:r>
      <w:r>
        <w:rPr>
          <w:rFonts w:eastAsia="Times New Roman" w:cs="Times New Roman" w:ascii="Times New Roman" w:hAnsi="Times New Roman"/>
          <w:b/>
          <w:bCs/>
          <w:spacing w:val="-3"/>
          <w:sz w:val="22"/>
          <w:szCs w:val="22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2"/>
          <w:szCs w:val="22"/>
          <w:lang w:eastAsia="ru-RU"/>
        </w:rPr>
        <w:t>филиал</w:t>
      </w:r>
    </w:p>
    <w:p>
      <w:pPr>
        <w:pStyle w:val="Normal"/>
        <w:shd w:val="clear" w:color="auto" w:fill="FFFFFF"/>
        <w:spacing w:lineRule="auto" w:line="240" w:before="0" w:after="0"/>
        <w:ind w:firstLine="851"/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z w:val="22"/>
          <w:szCs w:val="22"/>
        </w:rPr>
        <w:t>Федерального</w:t>
      </w:r>
      <w:r>
        <w:rPr>
          <w:rFonts w:ascii="Times New Roman" w:hAnsi="Times New Roman"/>
          <w:b/>
          <w:bCs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бюджетного</w:t>
      </w:r>
      <w:r>
        <w:rPr>
          <w:rFonts w:ascii="Times New Roman" w:hAnsi="Times New Roman"/>
          <w:b/>
          <w:bCs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учреждения</w:t>
      </w:r>
      <w:r>
        <w:rPr>
          <w:rFonts w:ascii="Times New Roman" w:hAnsi="Times New Roman"/>
          <w:b/>
          <w:bCs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здравоохранения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z w:val="22"/>
          <w:szCs w:val="22"/>
        </w:rPr>
        <w:t>«Центр</w:t>
      </w:r>
      <w:r>
        <w:rPr>
          <w:rFonts w:ascii="Times New Roman" w:hAnsi="Times New Roman"/>
          <w:b/>
          <w:bCs/>
          <w:spacing w:val="-4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гигиены</w:t>
      </w:r>
      <w:r>
        <w:rPr>
          <w:rFonts w:ascii="Times New Roman" w:hAnsi="Times New Roman"/>
          <w:b/>
          <w:bCs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и</w:t>
      </w:r>
      <w:r>
        <w:rPr>
          <w:rFonts w:ascii="Times New Roman" w:hAnsi="Times New Roman"/>
          <w:b/>
          <w:bCs/>
          <w:spacing w:val="-2"/>
          <w:sz w:val="22"/>
          <w:szCs w:val="22"/>
        </w:rPr>
        <w:t xml:space="preserve"> эпидемиологии </w:t>
      </w:r>
      <w:r>
        <w:rPr>
          <w:rFonts w:ascii="Times New Roman" w:hAnsi="Times New Roman"/>
          <w:b/>
          <w:bCs/>
          <w:sz w:val="22"/>
          <w:szCs w:val="22"/>
        </w:rPr>
        <w:t>в</w:t>
      </w:r>
      <w:r>
        <w:rPr>
          <w:rFonts w:ascii="Times New Roman" w:hAnsi="Times New Roman"/>
          <w:b/>
          <w:bCs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Республике</w:t>
      </w:r>
      <w:r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>Татарстан</w:t>
      </w:r>
      <w:r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pacing w:val="-2"/>
          <w:sz w:val="22"/>
          <w:szCs w:val="22"/>
        </w:rPr>
        <w:t>(Татарстан)»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spacing w:val="-2"/>
          <w:sz w:val="22"/>
          <w:szCs w:val="22"/>
        </w:rPr>
        <w:t>8 (8552) 46-41-52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b/>
          <w:bCs/>
        </w:rPr>
      </w:pPr>
      <w:r>
        <w:rPr>
          <w:rFonts w:eastAsia="Times New Roman" w:ascii="Times New Roman" w:hAnsi="Times New Roman"/>
          <w:b/>
          <w:bCs/>
          <w:spacing w:val="-2"/>
          <w:sz w:val="22"/>
          <w:szCs w:val="22"/>
        </w:rPr>
        <w:t>г.Набережные Челны, ул. Низаметдинова, 14.</w:t>
      </w:r>
    </w:p>
    <w:sectPr>
      <w:type w:val="nextPage"/>
      <w:pgSz w:w="11906" w:h="16838"/>
      <w:pgMar w:left="1134" w:right="707" w:gutter="0" w:header="0" w:top="568" w:footer="0" w:bottom="709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libri Light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2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16400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next w:val="Normal"/>
    <w:link w:val="11"/>
    <w:uiPriority w:val="9"/>
    <w:qFormat/>
    <w:rsid w:val="00f74bd5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32"/>
      <w:szCs w:val="32"/>
    </w:rPr>
  </w:style>
  <w:style w:type="paragraph" w:styleId="2">
    <w:name w:val="Heading 2"/>
    <w:basedOn w:val="Normal"/>
    <w:next w:val="Normal"/>
    <w:link w:val="21"/>
    <w:uiPriority w:val="9"/>
    <w:semiHidden/>
    <w:unhideWhenUsed/>
    <w:qFormat/>
    <w:rsid w:val="005d2fc5"/>
    <w:pPr>
      <w:keepNext w:val="true"/>
      <w:keepLines/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</w:rPr>
  </w:style>
  <w:style w:type="paragraph" w:styleId="3">
    <w:name w:val="Heading 3"/>
    <w:basedOn w:val="Normal"/>
    <w:next w:val="Normal"/>
    <w:link w:val="31"/>
    <w:uiPriority w:val="9"/>
    <w:semiHidden/>
    <w:unhideWhenUsed/>
    <w:qFormat/>
    <w:rsid w:val="005d2fc5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uiPriority w:val="99"/>
    <w:semiHidden/>
    <w:unhideWhenUsed/>
    <w:rsid w:val="00016400"/>
    <w:rPr>
      <w:color w:val="0000FF"/>
      <w:u w:val="single"/>
    </w:rPr>
  </w:style>
  <w:style w:type="character" w:styleId="21" w:customStyle="1">
    <w:name w:val="Заголовок 2 Знак"/>
    <w:basedOn w:val="DefaultParagraphFont"/>
    <w:uiPriority w:val="9"/>
    <w:qFormat/>
    <w:rsid w:val="005d2fc5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</w:rPr>
  </w:style>
  <w:style w:type="character" w:styleId="31" w:customStyle="1">
    <w:name w:val="Заголовок 3 Знак"/>
    <w:basedOn w:val="DefaultParagraphFont"/>
    <w:uiPriority w:val="9"/>
    <w:qFormat/>
    <w:rsid w:val="005d2fc5"/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  <w:sz w:val="24"/>
      <w:szCs w:val="24"/>
    </w:rPr>
  </w:style>
  <w:style w:type="character" w:styleId="Style11" w:customStyle="1">
    <w:name w:val="Текст выноски Знак"/>
    <w:basedOn w:val="DefaultParagraphFont"/>
    <w:link w:val="BalloonText"/>
    <w:uiPriority w:val="99"/>
    <w:semiHidden/>
    <w:qFormat/>
    <w:rsid w:val="00e6218c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uiPriority w:val="9"/>
    <w:qFormat/>
    <w:rsid w:val="00f74bd5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32"/>
      <w:szCs w:val="32"/>
    </w:rPr>
  </w:style>
  <w:style w:type="character" w:styleId="Style12">
    <w:name w:val="Emphasis"/>
    <w:basedOn w:val="DefaultParagraphFont"/>
    <w:uiPriority w:val="20"/>
    <w:qFormat/>
    <w:rsid w:val="00582cf5"/>
    <w:rPr>
      <w:i/>
      <w:iCs/>
    </w:rPr>
  </w:style>
  <w:style w:type="character" w:styleId="Strong">
    <w:name w:val="Strong"/>
    <w:basedOn w:val="DefaultParagraphFont"/>
    <w:uiPriority w:val="22"/>
    <w:qFormat/>
    <w:rsid w:val="00af5883"/>
    <w:rPr>
      <w:b/>
      <w:bCs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uiPriority w:val="1"/>
    <w:qFormat/>
    <w:rsid w:val="00016400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BalloonText">
    <w:name w:val="Balloon Text"/>
    <w:basedOn w:val="Normal"/>
    <w:link w:val="Style11"/>
    <w:uiPriority w:val="99"/>
    <w:semiHidden/>
    <w:unhideWhenUsed/>
    <w:qFormat/>
    <w:rsid w:val="00e6218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550384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ef51c7"/>
    <w:pPr>
      <w:spacing w:before="0" w:after="160"/>
      <w:ind w:left="720" w:hanging="0"/>
      <w:contextualSpacing/>
    </w:pPr>
    <w:rPr/>
  </w:style>
  <w:style w:type="paragraph" w:styleId="S1" w:customStyle="1">
    <w:name w:val="s_1"/>
    <w:basedOn w:val="Normal"/>
    <w:qFormat/>
    <w:rsid w:val="00bc3a7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Application>LibreOffice/7.5.6.2$Linux_X86_64 LibreOffice_project/50$Build-2</Application>
  <AppVersion>15.0000</AppVersion>
  <Pages>2</Pages>
  <Words>483</Words>
  <Characters>3176</Characters>
  <CharactersWithSpaces>3644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2025-09-30T14:00:00Z</dcterms:created>
  <dc:creator>Карманова Галина Петровна</dc:creator>
  <dc:description/>
  <dc:language>ru-RU</dc:language>
  <cp:lastModifiedBy/>
  <dcterms:modified xsi:type="dcterms:W3CDTF">2025-12-02T11:54:38Z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