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media/image1.jpeg" ContentType="image/jpeg"/>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5"/>
        <w:bidi w:val="0"/>
        <w:ind w:left="0" w:right="0" w:hanging="0"/>
        <w:jc w:val="center"/>
        <w:rPr>
          <w:b/>
          <w:sz w:val="32"/>
          <w:szCs w:val="32"/>
        </w:rPr>
      </w:pPr>
      <w:r>
        <w:rPr>
          <w:b/>
          <w:sz w:val="32"/>
          <w:szCs w:val="32"/>
        </w:rPr>
        <w:t>Ответственность изготовителя (исполнителя, продавца, импортера, владельца агрегатора) за нарушение прав потребителей</w:t>
      </w:r>
    </w:p>
    <w:p>
      <w:pPr>
        <w:pStyle w:val="Normal"/>
        <w:bidi w:val="0"/>
        <w:ind w:left="0" w:right="0" w:hanging="0"/>
        <w:jc w:val="left"/>
        <w:rPr>
          <w:b/>
          <w:sz w:val="32"/>
          <w:szCs w:val="32"/>
        </w:rPr>
      </w:pPr>
      <w:r>
        <w:rPr>
          <w:b/>
          <w:sz w:val="32"/>
          <w:szCs w:val="32"/>
        </w:rPr>
        <w:drawing>
          <wp:anchor behindDoc="0" distT="0" distB="0" distL="114935" distR="114935" simplePos="0" locked="0" layoutInCell="0" allowOverlap="1" relativeHeight="2">
            <wp:simplePos x="0" y="0"/>
            <wp:positionH relativeFrom="column">
              <wp:posOffset>3175</wp:posOffset>
            </wp:positionH>
            <wp:positionV relativeFrom="paragraph">
              <wp:posOffset>172720</wp:posOffset>
            </wp:positionV>
            <wp:extent cx="4276725" cy="1511935"/>
            <wp:effectExtent l="0" t="0" r="0" b="0"/>
            <wp:wrapSquare wrapText="bothSides"/>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4276725" cy="1511935"/>
                    </a:xfrm>
                    <a:prstGeom prst="rect">
                      <a:avLst/>
                    </a:prstGeom>
                  </pic:spPr>
                </pic:pic>
              </a:graphicData>
            </a:graphic>
          </wp:anchor>
        </w:drawing>
      </w:r>
    </w:p>
    <w:p>
      <w:pPr>
        <w:pStyle w:val="Normal"/>
        <w:bidi w:val="0"/>
        <w:ind w:left="0" w:right="0" w:firstLine="720"/>
        <w:rPr/>
      </w:pPr>
      <w:r>
        <w:rPr/>
        <w:t xml:space="preserve">Согласно общему правилу, установленному ст.13 Закона РФ от 7 февраля 1992 г. N 2300-I "О защите прав потребителей" (далее – Закон о защите прав потребителей), за нарушение прав </w:t>
      </w:r>
      <w:hyperlink r:id="rId3">
        <w:r>
          <w:rPr>
            <w:rStyle w:val="Style14"/>
            <w:rFonts w:eastAsia="Times New Roman" w:cs="Times New Roman CYR"/>
            <w:b w:val="false"/>
            <w:color w:val="000000"/>
            <w:lang w:val="ru-RU" w:eastAsia="ru-RU" w:bidi="ar-SA"/>
          </w:rPr>
          <w:t>потребителей</w:t>
        </w:r>
      </w:hyperlink>
      <w:r>
        <w:rPr/>
        <w:t xml:space="preserve">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Следует учитывать, что правами, предоставленными потребителю Законом о защите прав потребителей, пользуется не только гражданин, который имеет намерение заказать или приобрести либо заказывающий, приобретающий товары (работы, услуги), но и гражданин, который использует приобретенные (заказанные) вследствие таких отношений товары (работы, услуги) на законном основании (наследник, лицо, которому вещь была отчуждена впоследствии, и т.п.).</w:t>
      </w:r>
    </w:p>
    <w:p>
      <w:pPr>
        <w:pStyle w:val="Normal"/>
        <w:bidi w:val="0"/>
        <w:ind w:left="0" w:right="0" w:firstLine="720"/>
        <w:rPr>
          <w:shd w:fill="F0F0F0" w:val="clear"/>
        </w:rPr>
      </w:pPr>
      <w:r>
        <w:rPr/>
        <w:t>К основным принципам реализации наступления данной ответственности можно отнести следующие:</w:t>
      </w:r>
    </w:p>
    <w:p>
      <w:pPr>
        <w:pStyle w:val="Normal"/>
        <w:bidi w:val="0"/>
        <w:ind w:left="0" w:right="0" w:firstLine="720"/>
        <w:rPr/>
      </w:pPr>
      <w:r>
        <w:rPr>
          <w:b/>
        </w:rPr>
        <w:t>1.</w:t>
      </w:r>
      <w:r>
        <w:rPr/>
        <w:t xml:space="preserve"> Если иное не установлено законом, </w:t>
      </w:r>
      <w:r>
        <w:rPr>
          <w:b/>
        </w:rPr>
        <w:t>убытки,</w:t>
      </w:r>
      <w:r>
        <w:rPr/>
        <w:t xml:space="preserve"> причиненные потребителю, </w:t>
      </w:r>
      <w:r>
        <w:rPr>
          <w:b/>
        </w:rPr>
        <w:t>подлежат возмещению в полной сумме сверх неустойки (пени)</w:t>
      </w:r>
      <w:r>
        <w:rPr/>
        <w:t xml:space="preserve">, установленной </w:t>
      </w:r>
      <w:hyperlink r:id="rId4">
        <w:r>
          <w:rPr>
            <w:rStyle w:val="Style14"/>
            <w:rFonts w:eastAsia="Times New Roman" w:cs="Times New Roman CYR"/>
            <w:b w:val="false"/>
            <w:color w:val="000000"/>
            <w:lang w:val="ru-RU" w:eastAsia="ru-RU" w:bidi="ar-SA"/>
          </w:rPr>
          <w:t>законом</w:t>
        </w:r>
      </w:hyperlink>
      <w:r>
        <w:rPr/>
        <w:t xml:space="preserve"> или договором.</w:t>
      </w:r>
    </w:p>
    <w:p>
      <w:pPr>
        <w:pStyle w:val="Normal"/>
        <w:bidi w:val="0"/>
        <w:ind w:left="0" w:right="0" w:firstLine="720"/>
        <w:rPr/>
      </w:pPr>
      <w:r>
        <w:rPr/>
        <w:t>Наряду с возмещением убытков неустойка признается в качестве одной из основных форм гражданско-правовой ответственности. Неустойкой (штрафом, пеней) является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w:t>
      </w:r>
    </w:p>
    <w:p>
      <w:pPr>
        <w:pStyle w:val="Normal"/>
        <w:bidi w:val="0"/>
        <w:ind w:left="0" w:right="0" w:firstLine="720"/>
        <w:rPr/>
      </w:pPr>
      <w:r>
        <w:rPr/>
        <w:t>Неустойка может устанавливаться законом - законная неустойка и договором - договорная неустойка. Если неустойка определена законом, то кредитор вправе требовать ее уплаты независимо от того, предусмотрена ли обязанность ее уплаты соглашением сторон. Размер законной неустойки может быть увеличен соглашением сторон, если закон этого не запрещает. В отношениях с участием потребителей применяется как законная, так и договорная неустойка.</w:t>
      </w:r>
    </w:p>
    <w:p>
      <w:pPr>
        <w:pStyle w:val="Normal"/>
        <w:bidi w:val="0"/>
        <w:ind w:left="0" w:right="0" w:firstLine="720"/>
        <w:rPr/>
      </w:pPr>
      <w:r>
        <w:rPr>
          <w:b/>
        </w:rPr>
        <w:t>2.</w:t>
      </w:r>
      <w:r>
        <w:rPr/>
        <w:t xml:space="preserve"> </w:t>
      </w:r>
      <w:r>
        <w:rPr>
          <w:b/>
        </w:rPr>
        <w:t>Уплата неустойки (пени) и возмещение убытков не освобождают</w:t>
      </w:r>
      <w:r>
        <w:rPr/>
        <w:t xml:space="preserve"> изготовителя (исполнителя, продавца, уполномоченную организацию или уполномоченного индивидуального предпринимателя, импортера) </w:t>
      </w:r>
      <w:r>
        <w:rPr>
          <w:b/>
        </w:rPr>
        <w:t>от исполнения возложенных на него обязательств в натуре</w:t>
      </w:r>
      <w:r>
        <w:rPr/>
        <w:t xml:space="preserve"> перед потребителем (то есть совершения того действия, которое было предусмотрено договором с потребителем, даже если были возмещены убытки и взыскана неустойка).</w:t>
      </w:r>
    </w:p>
    <w:p>
      <w:pPr>
        <w:pStyle w:val="Normal"/>
        <w:bidi w:val="0"/>
        <w:ind w:left="0" w:right="0" w:firstLine="720"/>
        <w:rPr/>
      </w:pPr>
      <w:r>
        <w:rPr>
          <w:b/>
        </w:rPr>
        <w:t>3.</w:t>
      </w:r>
      <w:r>
        <w:rPr/>
        <w:t xml:space="preserve"> Изготовитель (исполнитель, продавец, уполномоченная организация или уполномоченный индивидуальный предприниматель, импортер, владелец агрегатора) </w:t>
      </w:r>
      <w:r>
        <w:rPr>
          <w:b/>
        </w:rPr>
        <w:t>освобождается от ответственности</w:t>
      </w:r>
      <w:r>
        <w:rPr/>
        <w:t xml:space="preserve"> за неисполнение обязательств или за ненадлежащее исполнение обязательств, </w:t>
      </w:r>
      <w:r>
        <w:rPr>
          <w:b/>
        </w:rPr>
        <w:t xml:space="preserve">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5">
        <w:r>
          <w:rPr>
            <w:rStyle w:val="Style14"/>
            <w:rFonts w:eastAsia="Times New Roman" w:cs="Times New Roman CYR"/>
            <w:b/>
            <w:color w:val="000000"/>
            <w:lang w:val="ru-RU" w:eastAsia="ru-RU" w:bidi="ar-SA"/>
          </w:rPr>
          <w:t>законом</w:t>
        </w:r>
      </w:hyperlink>
      <w:r>
        <w:rPr>
          <w:b/>
        </w:rPr>
        <w:t>.</w:t>
      </w:r>
      <w:r>
        <w:rPr/>
        <w:t xml:space="preserve"> Под непреодолимой силой понимается чрезвычайное, непредотвратимое при данных условиях событие (к таким событиям относятся, например, землетрясение, наводнение, эпидемия и т.д.). А согласно ст. 1098 ГК 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pPr>
        <w:pStyle w:val="Normal"/>
        <w:bidi w:val="0"/>
        <w:ind w:left="0" w:right="0" w:firstLine="720"/>
        <w:rPr/>
      </w:pPr>
      <w:r>
        <w:rPr/>
        <w:t>При этом закрепляется презумпция виновности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нарушение обязательства. На нем лежит бремя доказывания наличия непреодолимой силы либо иных обстоятельств, освобождающих его от ответственности.</w:t>
      </w:r>
    </w:p>
    <w:p>
      <w:pPr>
        <w:pStyle w:val="Normal"/>
        <w:bidi w:val="0"/>
        <w:ind w:left="0" w:right="0" w:firstLine="720"/>
        <w:rPr>
          <w:b/>
        </w:rPr>
      </w:pPr>
      <w:r>
        <w:rPr>
          <w:b/>
        </w:rPr>
        <w:t>4.</w:t>
      </w:r>
      <w:r>
        <w:rPr/>
        <w:t xml:space="preserve">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w:t>
      </w:r>
      <w:r>
        <w:rPr>
          <w:b/>
        </w:rPr>
        <w:t>в добровольном порядке.</w:t>
      </w:r>
    </w:p>
    <w:p>
      <w:pPr>
        <w:pStyle w:val="Normal"/>
        <w:bidi w:val="0"/>
        <w:ind w:left="0" w:right="0" w:firstLine="720"/>
        <w:rPr>
          <w:b/>
        </w:rPr>
      </w:pPr>
      <w:r>
        <w:rPr>
          <w:b/>
        </w:rPr>
        <w:t>5.</w:t>
      </w:r>
      <w:r>
        <w:rPr/>
        <w:t xml:space="preserve">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w:t>
      </w:r>
      <w:r>
        <w:rPr>
          <w:b/>
        </w:rPr>
        <w:t>штраф в размере пятьдесят процентов от суммы, присужденной судом в пользу потребителя.</w:t>
      </w:r>
    </w:p>
    <w:p>
      <w:pPr>
        <w:pStyle w:val="Normal"/>
        <w:bidi w:val="0"/>
        <w:ind w:left="0" w:right="0" w:firstLine="720"/>
        <w:rPr/>
      </w:pPr>
      <w:bookmarkStart w:id="0" w:name="sub_130602"/>
      <w:bookmarkEnd w:id="0"/>
      <w:r>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50% суммы взысканного штрафа перечисляются указанным объединениям (их ассоциациям, союзам) или органам.</w:t>
      </w:r>
    </w:p>
    <w:p>
      <w:pPr>
        <w:pStyle w:val="Normal"/>
        <w:bidi w:val="0"/>
        <w:ind w:left="0" w:right="0" w:firstLine="720"/>
        <w:rPr/>
      </w:pPr>
      <w:bookmarkStart w:id="1" w:name="sub_130602"/>
      <w:bookmarkEnd w:id="1"/>
      <w:r>
        <w:rPr/>
        <w:t xml:space="preserve">При этом вышеуказанный </w:t>
      </w:r>
      <w:r>
        <w:rPr>
          <w:b/>
        </w:rPr>
        <w:t>штраф не подлежит взысканию</w:t>
      </w:r>
      <w:r>
        <w:rPr/>
        <w:t xml:space="preserve"> в случаях:</w:t>
      </w:r>
    </w:p>
    <w:p>
      <w:pPr>
        <w:pStyle w:val="Normal"/>
        <w:numPr>
          <w:ilvl w:val="0"/>
          <w:numId w:val="1"/>
        </w:numPr>
        <w:bidi w:val="0"/>
        <w:ind w:left="567" w:right="0" w:hanging="0"/>
        <w:rPr/>
      </w:pPr>
      <w:r>
        <w:rPr/>
        <w:t xml:space="preserve">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w:t>
      </w:r>
      <w:r>
        <w:rPr>
          <w:b/>
        </w:rPr>
        <w:t>по вине потребителя</w:t>
      </w:r>
      <w:r>
        <w:rPr/>
        <w:t xml:space="preserve">, в том числе в случае уклонения потребителя от совершения действий, предусмотренных настоящим Законом, либо </w:t>
      </w:r>
      <w:r>
        <w:rPr>
          <w:b/>
        </w:rPr>
        <w:t>такого неисполнения им обязательств</w:t>
      </w:r>
      <w:r>
        <w:rPr/>
        <w:t xml:space="preserve">, в результате которого изготовитель (исполнитель, продавец, уполномоченная организация или уполномоченный индивидуальный предприниматель, импортер) </w:t>
      </w:r>
      <w:r>
        <w:rPr>
          <w:b/>
        </w:rPr>
        <w:t>оказался лишен возможности в добровольном порядке удовлетворить требования потребителя;</w:t>
      </w:r>
    </w:p>
    <w:p>
      <w:pPr>
        <w:pStyle w:val="Normal"/>
        <w:numPr>
          <w:ilvl w:val="0"/>
          <w:numId w:val="1"/>
        </w:numPr>
        <w:bidi w:val="0"/>
        <w:ind w:left="567" w:right="0" w:hanging="0"/>
        <w:rPr/>
      </w:pPr>
      <w:r>
        <w:rPr/>
        <w:t xml:space="preserve">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обязательства перед потребителем </w:t>
      </w:r>
      <w:r>
        <w:rPr>
          <w:b/>
        </w:rPr>
        <w:t>вследствие нарушения своим контрагентом обязанностей</w:t>
      </w:r>
      <w:r>
        <w:rPr/>
        <w:t xml:space="preserve"> по поставке товаров (выполнению работ, оказанию услуг), </w:t>
      </w:r>
      <w:r>
        <w:rPr>
          <w:b/>
        </w:rPr>
        <w:t>необходимых для исполнения обязательств перед потребителем,</w:t>
      </w:r>
      <w:r>
        <w:rPr/>
        <w:t xml:space="preserve">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pPr>
        <w:pStyle w:val="Normal"/>
        <w:bidi w:val="0"/>
        <w:ind w:left="0" w:right="0" w:firstLine="720"/>
        <w:rPr/>
      </w:pPr>
      <w:r>
        <w:rPr>
          <w:b/>
        </w:rPr>
        <w:t xml:space="preserve">6. </w:t>
      </w:r>
      <w:r>
        <w:rP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w:t>
      </w:r>
      <w:r>
        <w:rPr>
          <w:b/>
        </w:rPr>
        <w:t>медиативное соглашение,</w:t>
      </w:r>
      <w:r>
        <w:rPr/>
        <w:t xml:space="preserve"> предусмотренное </w:t>
      </w:r>
      <w:hyperlink r:id="rId6">
        <w:r>
          <w:rPr>
            <w:rStyle w:val="Style14"/>
            <w:rFonts w:eastAsia="Times New Roman" w:cs="Times New Roman CYR"/>
            <w:b w:val="false"/>
            <w:color w:val="000000"/>
            <w:lang w:val="ru-RU" w:eastAsia="ru-RU" w:bidi="ar-SA"/>
          </w:rPr>
          <w:t>Федеральным законом</w:t>
        </w:r>
      </w:hyperlink>
      <w:r>
        <w:rPr/>
        <w:t xml:space="preserve"> от 27 июля 2010 года N 193-ФЗ "Об альтернативной процедуре урегулирования споров с участием посредника (процедуре медиации)", </w:t>
      </w:r>
      <w:r>
        <w:rPr>
          <w:b/>
        </w:rPr>
        <w:t xml:space="preserve">штраф, предусмотренный </w:t>
      </w:r>
      <w:hyperlink w:anchor="sub_1306">
        <w:r>
          <w:rPr>
            <w:rStyle w:val="Style14"/>
            <w:rFonts w:eastAsia="Times New Roman" w:cs="Times New Roman CYR"/>
            <w:b/>
            <w:color w:val="000000"/>
            <w:lang w:val="ru-RU" w:eastAsia="ru-RU" w:bidi="ar-SA"/>
          </w:rPr>
          <w:t>п.6</w:t>
        </w:r>
      </w:hyperlink>
      <w:r>
        <w:rPr>
          <w:b/>
        </w:rPr>
        <w:t xml:space="preserve"> ст.13 Закона о защите прав потребителей, судом не взыскивается,</w:t>
      </w:r>
      <w:r>
        <w:rPr/>
        <w:t xml:space="preserve">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pPr>
        <w:pStyle w:val="Normal"/>
        <w:bidi w:val="0"/>
        <w:ind w:left="0" w:right="0" w:firstLine="720"/>
        <w:rPr/>
      </w:pPr>
      <w:r>
        <w:rPr>
          <w:b/>
        </w:rPr>
        <w:t>7.</w:t>
      </w:r>
      <w:r>
        <w:rPr/>
        <w:t xml:space="preserve"> Если иное не установлено законом, </w:t>
      </w:r>
      <w:r>
        <w:rPr>
          <w:b/>
        </w:rPr>
        <w:t>уступка потребителем права требования об уплате неустойки (пени),</w:t>
      </w:r>
      <w:r>
        <w:rPr/>
        <w:t xml:space="preserve"> размер которой определен в соответствии с </w:t>
      </w:r>
      <w:hyperlink r:id="rId7">
        <w:r>
          <w:rPr>
            <w:rStyle w:val="Style14"/>
            <w:rFonts w:eastAsia="Times New Roman" w:cs="Times New Roman CYR"/>
            <w:b w:val="false"/>
            <w:color w:val="000000"/>
            <w:lang w:val="ru-RU" w:eastAsia="ru-RU" w:bidi="ar-SA"/>
          </w:rPr>
          <w:t>п.1 ст.23</w:t>
        </w:r>
      </w:hyperlink>
      <w:r>
        <w:rPr/>
        <w:t xml:space="preserve"> Закона о защите прав потребителей, </w:t>
      </w:r>
      <w:r>
        <w:rPr>
          <w:b/>
        </w:rPr>
        <w:t>и штрафа,</w:t>
      </w:r>
      <w:r>
        <w:rPr/>
        <w:t xml:space="preserve"> указанного в </w:t>
      </w:r>
      <w:hyperlink w:anchor="sub_1306">
        <w:r>
          <w:rPr>
            <w:rStyle w:val="Style14"/>
            <w:rFonts w:eastAsia="Times New Roman" w:cs="Times New Roman CYR"/>
            <w:b w:val="false"/>
            <w:color w:val="000000"/>
            <w:lang w:val="ru-RU" w:eastAsia="ru-RU" w:bidi="ar-SA"/>
          </w:rPr>
          <w:t>п.6</w:t>
        </w:r>
      </w:hyperlink>
      <w:r>
        <w:rPr/>
        <w:t xml:space="preserve"> ст.13 Закона о защите прав потребителей, </w:t>
      </w:r>
      <w:r>
        <w:rPr>
          <w:b/>
        </w:rPr>
        <w:t>лицу,</w:t>
      </w:r>
      <w:r>
        <w:rPr/>
        <w:t xml:space="preserve"> </w:t>
      </w:r>
      <w:r>
        <w:rPr>
          <w:b/>
        </w:rPr>
        <w:t>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w:t>
      </w:r>
      <w:r>
        <w:rPr/>
        <w:t xml:space="preserve"> При совершении такой сделки она признается ничтожной.</w:t>
      </w:r>
    </w:p>
    <w:p>
      <w:pPr>
        <w:pStyle w:val="Normal"/>
        <w:bidi w:val="0"/>
        <w:ind w:left="0" w:right="0" w:firstLine="720"/>
        <w:rPr/>
      </w:pPr>
      <w:r>
        <w:rPr/>
      </w:r>
    </w:p>
    <w:p>
      <w:pPr>
        <w:pStyle w:val="Normal"/>
        <w:bidi w:val="0"/>
        <w:ind w:left="0" w:right="0" w:firstLine="720"/>
        <w:rPr/>
      </w:pPr>
      <w:r>
        <w:rPr/>
      </w:r>
    </w:p>
    <w:p>
      <w:pPr>
        <w:pStyle w:val="Normal"/>
        <w:bidi w:val="0"/>
        <w:ind w:left="0" w:right="0" w:firstLine="720"/>
        <w:rPr/>
      </w:pPr>
      <w:r>
        <w:rPr/>
      </w:r>
    </w:p>
    <w:p>
      <w:pPr>
        <w:pStyle w:val="TableParagraph"/>
        <w:widowControl w:val="false"/>
        <w:bidi w:val="0"/>
        <w:spacing w:lineRule="auto" w:line="240" w:before="0" w:after="0"/>
        <w:ind w:left="52" w:right="57" w:firstLine="931"/>
        <w:contextualSpacing/>
        <w:jc w:val="right"/>
        <w:rPr>
          <w:rFonts w:ascii="Times New Roman" w:hAnsi="Times New Roman"/>
          <w:sz w:val="22"/>
          <w:szCs w:val="22"/>
        </w:rPr>
      </w:pPr>
      <w:r>
        <w:rPr>
          <w:b/>
          <w:sz w:val="22"/>
          <w:szCs w:val="22"/>
        </w:rPr>
        <w:t>На</w:t>
      </w:r>
      <w:r>
        <w:rPr>
          <w:b/>
          <w:color w:val="000000"/>
          <w:sz w:val="22"/>
          <w:szCs w:val="22"/>
        </w:rPr>
        <w:t>бережночелнинский</w:t>
      </w:r>
      <w:r>
        <w:rPr>
          <w:b/>
          <w:color w:val="000000"/>
          <w:spacing w:val="-3"/>
          <w:sz w:val="22"/>
          <w:szCs w:val="22"/>
        </w:rPr>
        <w:t xml:space="preserve"> </w:t>
      </w:r>
      <w:r>
        <w:rPr>
          <w:b/>
          <w:color w:val="000000"/>
          <w:sz w:val="22"/>
          <w:szCs w:val="22"/>
        </w:rPr>
        <w:t>филиал Федерального</w:t>
      </w:r>
      <w:r>
        <w:rPr>
          <w:b/>
          <w:color w:val="000000"/>
          <w:spacing w:val="-10"/>
          <w:sz w:val="22"/>
          <w:szCs w:val="22"/>
        </w:rPr>
        <w:t xml:space="preserve"> </w:t>
      </w:r>
      <w:r>
        <w:rPr>
          <w:b/>
          <w:color w:val="000000"/>
          <w:sz w:val="22"/>
          <w:szCs w:val="22"/>
        </w:rPr>
        <w:t>бюджетного</w:t>
      </w:r>
      <w:r>
        <w:rPr>
          <w:b/>
          <w:color w:val="000000"/>
          <w:spacing w:val="-10"/>
          <w:sz w:val="22"/>
          <w:szCs w:val="22"/>
        </w:rPr>
        <w:t xml:space="preserve"> </w:t>
      </w:r>
      <w:r>
        <w:rPr>
          <w:b/>
          <w:color w:val="000000"/>
          <w:sz w:val="22"/>
          <w:szCs w:val="22"/>
        </w:rPr>
        <w:t>учреждения</w:t>
      </w:r>
      <w:r>
        <w:rPr>
          <w:b/>
          <w:color w:val="000000"/>
          <w:spacing w:val="-10"/>
          <w:sz w:val="22"/>
          <w:szCs w:val="22"/>
        </w:rPr>
        <w:t xml:space="preserve"> </w:t>
      </w:r>
      <w:r>
        <w:rPr>
          <w:b/>
          <w:color w:val="000000"/>
          <w:sz w:val="22"/>
          <w:szCs w:val="22"/>
        </w:rPr>
        <w:t>здравоохранения «Центр</w:t>
      </w:r>
      <w:r>
        <w:rPr>
          <w:b/>
          <w:color w:val="000000"/>
          <w:spacing w:val="-4"/>
          <w:sz w:val="22"/>
          <w:szCs w:val="22"/>
        </w:rPr>
        <w:t xml:space="preserve"> </w:t>
      </w:r>
      <w:r>
        <w:rPr>
          <w:b/>
          <w:color w:val="000000"/>
          <w:sz w:val="22"/>
          <w:szCs w:val="22"/>
        </w:rPr>
        <w:t>гигиены</w:t>
      </w:r>
      <w:r>
        <w:rPr>
          <w:b/>
          <w:color w:val="000000"/>
          <w:spacing w:val="-7"/>
          <w:sz w:val="22"/>
          <w:szCs w:val="22"/>
        </w:rPr>
        <w:t xml:space="preserve"> </w:t>
      </w:r>
      <w:r>
        <w:rPr>
          <w:b/>
          <w:color w:val="000000"/>
          <w:sz w:val="22"/>
          <w:szCs w:val="22"/>
        </w:rPr>
        <w:t>и</w:t>
      </w:r>
      <w:r>
        <w:rPr>
          <w:b/>
          <w:color w:val="000000"/>
          <w:spacing w:val="-2"/>
          <w:sz w:val="22"/>
          <w:szCs w:val="22"/>
        </w:rPr>
        <w:t xml:space="preserve"> эпидемиологии</w:t>
      </w:r>
    </w:p>
    <w:p>
      <w:pPr>
        <w:pStyle w:val="TableParagraph"/>
        <w:widowControl w:val="false"/>
        <w:bidi w:val="0"/>
        <w:spacing w:lineRule="auto" w:line="240" w:before="0" w:after="0"/>
        <w:ind w:left="52" w:right="57" w:firstLine="931"/>
        <w:contextualSpacing/>
        <w:jc w:val="right"/>
        <w:rPr>
          <w:rFonts w:ascii="Times New Roman" w:hAnsi="Times New Roman"/>
          <w:sz w:val="22"/>
          <w:szCs w:val="22"/>
        </w:rPr>
      </w:pPr>
      <w:r>
        <w:rPr>
          <w:b/>
          <w:color w:val="000000"/>
          <w:sz w:val="22"/>
          <w:szCs w:val="22"/>
        </w:rPr>
        <w:t>в</w:t>
      </w:r>
      <w:r>
        <w:rPr>
          <w:b/>
          <w:color w:val="000000"/>
          <w:spacing w:val="-7"/>
          <w:sz w:val="22"/>
          <w:szCs w:val="22"/>
        </w:rPr>
        <w:t xml:space="preserve"> </w:t>
      </w:r>
      <w:r>
        <w:rPr>
          <w:b/>
          <w:color w:val="000000"/>
          <w:sz w:val="22"/>
          <w:szCs w:val="22"/>
        </w:rPr>
        <w:t>Республике</w:t>
      </w:r>
      <w:r>
        <w:rPr>
          <w:b/>
          <w:color w:val="000000"/>
          <w:spacing w:val="-5"/>
          <w:sz w:val="22"/>
          <w:szCs w:val="22"/>
        </w:rPr>
        <w:t xml:space="preserve"> </w:t>
      </w:r>
      <w:r>
        <w:rPr>
          <w:b/>
          <w:color w:val="000000"/>
          <w:sz w:val="22"/>
          <w:szCs w:val="22"/>
        </w:rPr>
        <w:t>Татарстан</w:t>
      </w:r>
      <w:r>
        <w:rPr>
          <w:b/>
          <w:color w:val="000000"/>
          <w:spacing w:val="-5"/>
          <w:sz w:val="22"/>
          <w:szCs w:val="22"/>
        </w:rPr>
        <w:t xml:space="preserve"> </w:t>
      </w:r>
      <w:r>
        <w:rPr>
          <w:b/>
          <w:color w:val="000000"/>
          <w:spacing w:val="-2"/>
          <w:sz w:val="22"/>
          <w:szCs w:val="22"/>
        </w:rPr>
        <w:t xml:space="preserve">(Татарстан)»     </w:t>
      </w:r>
    </w:p>
    <w:p>
      <w:pPr>
        <w:pStyle w:val="Style19"/>
        <w:bidi w:val="0"/>
        <w:spacing w:lineRule="auto" w:line="240" w:before="0" w:after="0"/>
        <w:ind w:left="0" w:right="0" w:hanging="0"/>
        <w:contextualSpacing/>
        <w:jc w:val="right"/>
        <w:rPr>
          <w:rFonts w:ascii="Times New Roman" w:hAnsi="Times New Roman"/>
          <w:color w:val="000000"/>
          <w:sz w:val="22"/>
          <w:szCs w:val="22"/>
        </w:rPr>
      </w:pPr>
      <w:r>
        <w:rPr>
          <w:rFonts w:ascii="Times New Roman" w:hAnsi="Times New Roman"/>
          <w:b/>
          <w:bCs/>
          <w:color w:val="000000"/>
          <w:spacing w:val="-2"/>
          <w:sz w:val="22"/>
          <w:szCs w:val="22"/>
          <w:shd w:fill="FFFFFF" w:val="clear"/>
        </w:rPr>
        <w:t xml:space="preserve">8 (8552) 46-41-52 г.Набережные Челны, ул. Низаметдинова, 14.      </w:t>
      </w:r>
    </w:p>
    <w:sectPr>
      <w:footerReference w:type="default" r:id="rId8"/>
      <w:type w:val="nextPage"/>
      <w:pgSz w:w="11906" w:h="16798"/>
      <w:pgMar w:left="1134" w:right="964" w:gutter="0" w:header="0" w:top="964" w:footer="964" w:bottom="120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CYR">
    <w:charset w:val="01"/>
    <w:family w:val="roman"/>
    <w:pitch w:val="default"/>
  </w:font>
  <w:font w:name="Calibri Light">
    <w:charset w:val="01"/>
    <w:family w:val="roman"/>
    <w:pitch w:val="default"/>
  </w:font>
  <w:font w:name="Times New Roman">
    <w:charset w:val="01"/>
    <w:family w:val="roman"/>
    <w:pitch w:val="default"/>
  </w:font>
  <w:font w:name="Calibri">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972" w:type="dxa"/>
      <w:jc w:val="left"/>
      <w:tblInd w:w="0" w:type="dxa"/>
      <w:tblLayout w:type="fixed"/>
      <w:tblCellMar>
        <w:top w:w="0" w:type="dxa"/>
        <w:left w:w="0" w:type="dxa"/>
        <w:bottom w:w="0" w:type="dxa"/>
        <w:right w:w="0" w:type="dxa"/>
      </w:tblCellMar>
    </w:tblPr>
    <w:tblGrid>
      <w:gridCol w:w="3325"/>
      <w:gridCol w:w="3324"/>
      <w:gridCol w:w="3323"/>
    </w:tblGrid>
    <w:tr>
      <w:trPr/>
      <w:tc>
        <w:tcPr>
          <w:tcW w:w="3325" w:type="dxa"/>
          <w:tcBorders/>
        </w:tcPr>
        <w:p>
          <w:pPr>
            <w:pStyle w:val="Normal"/>
            <w:widowControl w:val="false"/>
            <w:tabs>
              <w:tab w:val="clear" w:pos="720"/>
            </w:tabs>
            <w:bidi w:val="0"/>
            <w:ind w:left="0" w:right="0" w:hanging="0"/>
            <w:jc w:val="left"/>
            <w:rPr>
              <w:rFonts w:ascii="Times New Roman" w:hAnsi="Times New Roman" w:cs="Times New Roman"/>
              <w:sz w:val="20"/>
              <w:szCs w:val="20"/>
            </w:rPr>
          </w:pPr>
          <w:r>
            <w:rPr>
              <w:rFonts w:cs="Times New Roman" w:ascii="Times New Roman" w:hAnsi="Times New Roman"/>
              <w:sz w:val="20"/>
              <w:szCs w:val="20"/>
            </w:rPr>
          </w:r>
        </w:p>
      </w:tc>
      <w:tc>
        <w:tcPr>
          <w:tcW w:w="3324" w:type="dxa"/>
          <w:tcBorders/>
        </w:tcPr>
        <w:p>
          <w:pPr>
            <w:pStyle w:val="Normal"/>
            <w:widowControl w:val="false"/>
            <w:tabs>
              <w:tab w:val="clear" w:pos="720"/>
            </w:tabs>
            <w:bidi w:val="0"/>
            <w:ind w:left="0" w:right="0" w:hanging="0"/>
            <w:jc w:val="center"/>
            <w:rPr>
              <w:rFonts w:ascii="Times New Roman" w:hAnsi="Times New Roman" w:cs="Times New Roman"/>
              <w:sz w:val="20"/>
              <w:szCs w:val="20"/>
            </w:rPr>
          </w:pPr>
          <w:r>
            <w:rPr>
              <w:rFonts w:cs="Times New Roman" w:ascii="Times New Roman" w:hAnsi="Times New Roman"/>
              <w:sz w:val="20"/>
              <w:szCs w:val="20"/>
            </w:rPr>
          </w:r>
        </w:p>
      </w:tc>
      <w:tc>
        <w:tcPr>
          <w:tcW w:w="3323" w:type="dxa"/>
          <w:tcBorders/>
        </w:tcPr>
        <w:p>
          <w:pPr>
            <w:pStyle w:val="Normal"/>
            <w:widowControl w:val="false"/>
            <w:tabs>
              <w:tab w:val="clear" w:pos="720"/>
            </w:tabs>
            <w:bidi w:val="0"/>
            <w:ind w:left="0" w:right="0" w:hanging="0"/>
            <w:jc w:val="right"/>
            <w:rPr>
              <w:rFonts w:ascii="Times New Roman" w:hAnsi="Times New Roman" w:cs="Times New Roman"/>
              <w:sz w:val="20"/>
              <w:szCs w:val="20"/>
            </w:rPr>
          </w:pPr>
          <w:r>
            <w:rPr>
              <w:rFonts w:cs="Times New Roman" w:ascii="Times New Roman" w:hAnsi="Times New Roman"/>
              <w:sz w:val="20"/>
              <w:szCs w:val="20"/>
            </w:rPr>
          </w:r>
        </w:p>
      </w:tc>
    </w:tr>
  </w:tbl>
  <w:p>
    <w:pPr>
      <w:pStyle w:val="Normal"/>
      <w:widowControl w:val="false"/>
      <w:bidi w:val="0"/>
      <w:ind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Noto Sans Devanagari"/>
        <w:kern w:val="2"/>
        <w:sz w:val="24"/>
        <w:szCs w:val="24"/>
        <w:lang w:val="ru-RU" w:eastAsia="zh-CN" w:bidi="hi-IN"/>
      </w:rPr>
    </w:rPrDefault>
    <w:pPrDefault>
      <w:pPr>
        <w:suppressAutoHyphens w:val="true"/>
      </w:pPr>
    </w:pPrDefault>
  </w:docDefaults>
  <w:style w:type="paragraph" w:styleId="Normal">
    <w:name w:val="Normal"/>
    <w:qFormat/>
    <w:pPr>
      <w:widowControl w:val="false"/>
      <w:bidi w:val="0"/>
      <w:ind w:firstLine="720"/>
      <w:jc w:val="both"/>
      <w:textAlignment w:val="auto"/>
    </w:pPr>
    <w:rPr>
      <w:rFonts w:ascii="Times New Roman CYR" w:hAnsi="Times New Roman CYR" w:eastAsia="Times New Roman" w:cs="Times New Roman CYR"/>
      <w:color w:val="auto"/>
      <w:kern w:val="2"/>
      <w:sz w:val="24"/>
      <w:szCs w:val="24"/>
      <w:lang w:val="ru-RU" w:eastAsia="ru-RU" w:bidi="ar-SA"/>
    </w:rPr>
  </w:style>
  <w:style w:type="paragraph" w:styleId="1">
    <w:name w:val="Heading 1"/>
    <w:basedOn w:val="Normal"/>
    <w:next w:val="Normal"/>
    <w:qFormat/>
    <w:pPr>
      <w:spacing w:before="108" w:after="108"/>
      <w:ind w:hanging="0"/>
      <w:jc w:val="center"/>
      <w:outlineLvl w:val="0"/>
    </w:pPr>
    <w:rPr>
      <w:b/>
      <w:bCs/>
      <w:color w:val="26282F"/>
    </w:rPr>
  </w:style>
  <w:style w:type="character" w:styleId="DefaultParagraphFont">
    <w:name w:val="Default Paragraph Font"/>
    <w:qFormat/>
    <w:rPr/>
  </w:style>
  <w:style w:type="character" w:styleId="11">
    <w:name w:val="Заголовок 1 Знак"/>
    <w:basedOn w:val="DefaultParagraphFont"/>
    <w:qFormat/>
    <w:rPr>
      <w:rFonts w:ascii="Calibri Light" w:hAnsi="Calibri Light" w:cs="Times New Roman"/>
      <w:b/>
      <w:bCs/>
      <w:kern w:val="2"/>
      <w:sz w:val="32"/>
      <w:szCs w:val="32"/>
    </w:rPr>
  </w:style>
  <w:style w:type="character" w:styleId="Style13">
    <w:name w:val="Цветовое выделение"/>
    <w:qFormat/>
    <w:rPr>
      <w:b/>
      <w:color w:val="26282F"/>
    </w:rPr>
  </w:style>
  <w:style w:type="character" w:styleId="Style14">
    <w:name w:val="Гипертекстовая ссылка"/>
    <w:basedOn w:val="Style13"/>
    <w:qFormat/>
    <w:rPr>
      <w:rFonts w:ascii="Times New Roman" w:hAnsi="Times New Roman" w:eastAsia="Times New Roman" w:cs="Times New Roman"/>
      <w:b w:val="false"/>
      <w:color w:val="106BBE"/>
      <w:sz w:val="24"/>
      <w:szCs w:val="24"/>
    </w:rPr>
  </w:style>
  <w:style w:type="character" w:styleId="Style15">
    <w:name w:val="Цветовое выделение для Текст"/>
    <w:qFormat/>
    <w:rPr>
      <w:rFonts w:ascii="Times New Roman CYR" w:hAnsi="Times New Roman CYR"/>
    </w:rPr>
  </w:style>
  <w:style w:type="character" w:styleId="Style16">
    <w:name w:val="Верхний колонтитул Знак"/>
    <w:basedOn w:val="DefaultParagraphFont"/>
    <w:qFormat/>
    <w:rPr>
      <w:rFonts w:eastAsia="Times New Roman"/>
    </w:rPr>
  </w:style>
  <w:style w:type="character" w:styleId="Style17">
    <w:name w:val="Нижний колонтитул Знак"/>
    <w:basedOn w:val="DefaultParagraphFont"/>
    <w:qFormat/>
    <w:rPr>
      <w:rFonts w:eastAsia="Times New Roman"/>
    </w:rPr>
  </w:style>
  <w:style w:type="character" w:styleId="-">
    <w:name w:val="Hyperlink"/>
    <w:rPr>
      <w:color w:val="000080"/>
      <w:u w:val="single"/>
    </w:rPr>
  </w:style>
  <w:style w:type="paragraph" w:styleId="Style18">
    <w:name w:val="Заголовок"/>
    <w:basedOn w:val="Normal"/>
    <w:next w:val="Style19"/>
    <w:qFormat/>
    <w:pPr>
      <w:keepNext w:val="true"/>
      <w:spacing w:before="240" w:after="120"/>
    </w:pPr>
    <w:rPr>
      <w:rFonts w:ascii="PT Astra Serif" w:hAnsi="PT Astra Serif" w:eastAsia="Tahoma" w:cs="Noto Sans Devanagari"/>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ascii="PT Astra Serif" w:hAnsi="PT Astra Serif" w:cs="Noto Sans Devanagari"/>
    </w:rPr>
  </w:style>
  <w:style w:type="paragraph" w:styleId="Style21">
    <w:name w:val="Caption"/>
    <w:basedOn w:val="Normal"/>
    <w:qFormat/>
    <w:pPr>
      <w:suppressLineNumbers/>
      <w:spacing w:before="120" w:after="120"/>
    </w:pPr>
    <w:rPr>
      <w:rFonts w:ascii="PT Astra Serif" w:hAnsi="PT Astra Serif" w:cs="Noto Sans Devanagari"/>
      <w:i/>
      <w:iCs/>
      <w:sz w:val="24"/>
      <w:szCs w:val="24"/>
    </w:rPr>
  </w:style>
  <w:style w:type="paragraph" w:styleId="Style22">
    <w:name w:val="Указатель"/>
    <w:basedOn w:val="Normal"/>
    <w:qFormat/>
    <w:pPr>
      <w:suppressLineNumbers/>
    </w:pPr>
    <w:rPr>
      <w:rFonts w:ascii="PT Astra Serif" w:hAnsi="PT Astra Serif" w:cs="Noto Sans Devanagari"/>
    </w:rPr>
  </w:style>
  <w:style w:type="paragraph" w:styleId="NormalTable">
    <w:name w:val="Normal Table"/>
    <w:qFormat/>
    <w:pPr>
      <w:widowControl/>
      <w:bidi w:val="0"/>
      <w:spacing w:lineRule="auto" w:line="256" w:before="0" w:after="160"/>
      <w:jc w:val="left"/>
      <w:textAlignment w:val="auto"/>
    </w:pPr>
    <w:rPr>
      <w:rFonts w:ascii="Calibri" w:hAnsi="Calibri" w:eastAsia="Times New Roman" w:cs="Times New Roman"/>
      <w:color w:val="auto"/>
      <w:kern w:val="2"/>
      <w:sz w:val="22"/>
      <w:szCs w:val="22"/>
      <w:lang w:val="ru-RU" w:eastAsia="ru-RU" w:bidi="ar-SA"/>
    </w:rPr>
  </w:style>
  <w:style w:type="paragraph" w:styleId="Style23">
    <w:name w:val="Текст (справка)"/>
    <w:basedOn w:val="Normal"/>
    <w:next w:val="Normal"/>
    <w:qFormat/>
    <w:pPr>
      <w:ind w:left="170" w:right="170" w:hanging="0"/>
      <w:jc w:val="left"/>
    </w:pPr>
    <w:rPr/>
  </w:style>
  <w:style w:type="paragraph" w:styleId="Style24">
    <w:name w:val="Комментарий"/>
    <w:basedOn w:val="Style23"/>
    <w:next w:val="Normal"/>
    <w:qFormat/>
    <w:pPr>
      <w:spacing w:before="75" w:after="0"/>
      <w:ind w:left="170" w:right="170" w:hanging="0"/>
    </w:pPr>
    <w:rPr>
      <w:color w:val="353842"/>
    </w:rPr>
  </w:style>
  <w:style w:type="paragraph" w:styleId="Style25">
    <w:name w:val="Заголовок статьи"/>
    <w:basedOn w:val="Normal"/>
    <w:next w:val="Normal"/>
    <w:qFormat/>
    <w:pPr>
      <w:ind w:left="1612" w:hanging="892"/>
    </w:pPr>
    <w:rPr/>
  </w:style>
  <w:style w:type="paragraph" w:styleId="Style26">
    <w:name w:val="Информация о версии"/>
    <w:basedOn w:val="Style24"/>
    <w:next w:val="Normal"/>
    <w:qFormat/>
    <w:pPr>
      <w:spacing w:before="75" w:after="0"/>
      <w:ind w:left="170" w:right="170" w:hanging="0"/>
    </w:pPr>
    <w:rPr>
      <w:i/>
      <w:iCs/>
      <w:color w:val="353842"/>
    </w:rPr>
  </w:style>
  <w:style w:type="paragraph" w:styleId="Style27">
    <w:name w:val="Нормальный (таблица)"/>
    <w:basedOn w:val="Normal"/>
    <w:next w:val="Normal"/>
    <w:qFormat/>
    <w:pPr>
      <w:ind w:hanging="0"/>
    </w:pPr>
    <w:rPr/>
  </w:style>
  <w:style w:type="paragraph" w:styleId="Style28">
    <w:name w:val="Колонтитул"/>
    <w:basedOn w:val="Normal"/>
    <w:qFormat/>
    <w:pPr/>
    <w:rPr/>
  </w:style>
  <w:style w:type="paragraph" w:styleId="Style29">
    <w:name w:val="Header"/>
    <w:basedOn w:val="Normal"/>
    <w:pPr>
      <w:tabs>
        <w:tab w:val="clear" w:pos="720"/>
        <w:tab w:val="center" w:pos="4677" w:leader="none"/>
        <w:tab w:val="right" w:pos="9355" w:leader="none"/>
      </w:tabs>
      <w:ind w:firstLine="720"/>
    </w:pPr>
    <w:rPr/>
  </w:style>
  <w:style w:type="paragraph" w:styleId="Style30">
    <w:name w:val="Footer"/>
    <w:basedOn w:val="Normal"/>
    <w:pPr>
      <w:tabs>
        <w:tab w:val="clear" w:pos="720"/>
        <w:tab w:val="center" w:pos="4677" w:leader="none"/>
        <w:tab w:val="right" w:pos="9355" w:leader="none"/>
      </w:tabs>
      <w:ind w:firstLine="720"/>
    </w:pPr>
    <w:rPr/>
  </w:style>
  <w:style w:type="paragraph" w:styleId="TableParagraph">
    <w:name w:val="Table Paragraph"/>
    <w:basedOn w:val="Normal"/>
    <w:qFormat/>
    <w:pPr>
      <w:ind w:left="99" w:right="0" w:hanging="0"/>
      <w:jc w:val="center"/>
    </w:pPr>
    <w:rPr>
      <w:rFonts w:ascii="Times New Roman" w:hAnsi="Times New Roman" w:eastAsia="Times New Roman" w:cs="Times New Roman"/>
      <w:lang w:val="ru-RU"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internet.garant.ru/document/redirect/10106035/101" TargetMode="External"/><Relationship Id="rId4" Type="http://schemas.openxmlformats.org/officeDocument/2006/relationships/hyperlink" Target="https://internet.garant.ru/document/redirect/10164072/332" TargetMode="External"/><Relationship Id="rId5" Type="http://schemas.openxmlformats.org/officeDocument/2006/relationships/hyperlink" Target="https://internet.garant.ru/document/redirect/10164072/1098" TargetMode="External"/><Relationship Id="rId6" Type="http://schemas.openxmlformats.org/officeDocument/2006/relationships/hyperlink" Target="https://internet.garant.ru/document/redirect/12177508/0" TargetMode="External"/><Relationship Id="rId7" Type="http://schemas.openxmlformats.org/officeDocument/2006/relationships/hyperlink" Target="https://internet.garant.ru/document/redirect/10106035/2301" TargetMode="Externa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TotalTime>
  <Application>LibreOffice/7.5.6.2$Linux_X86_64 LibreOffice_project/50$Build-2</Application>
  <AppVersion>15.0000</AppVersion>
  <Pages>3</Pages>
  <Words>827</Words>
  <Characters>6446</Characters>
  <CharactersWithSpaces>7263</CharactersWithSpaces>
  <Paragraphs>20</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2026-10-06T11:53:00Z</dcterms:created>
  <dc:creator>НПП "Гарант-Сервис"</dc:creator>
  <dc:description>Документ экспортирован из системы ГАРАНТ</dc:description>
  <dc:language>ru-RU</dc:language>
  <cp:lastModifiedBy/>
  <dcterms:modified xsi:type="dcterms:W3CDTF">2026-10-14T09:37:24Z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Юрист</vt:lpwstr>
  </property>
</Properties>
</file>