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center"/>
        <w:rPr>
          <w:color w:val="C9211E"/>
          <w:sz w:val="40"/>
          <w:szCs w:val="40"/>
        </w:rPr>
      </w:pPr>
      <w:r>
        <w:rPr>
          <w:b/>
          <w:color w:val="C9211E"/>
          <w:sz w:val="40"/>
          <w:szCs w:val="40"/>
        </w:rPr>
        <w:t>Рекомендации к выбору школьных принадлежностей, школьной формы и одежды.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center"/>
        <w:rPr>
          <w:i/>
          <w:i/>
          <w:iCs/>
          <w:color w:val="C9211E"/>
        </w:rPr>
      </w:pPr>
      <w:r>
        <w:rPr>
          <w:i/>
          <w:iCs/>
          <w:color w:val="C9211E"/>
          <w:sz w:val="28"/>
          <w:szCs w:val="28"/>
        </w:rPr>
        <w:t>Подготовка к новому учебному году — ответственная пора для родителей. Выбор безопасных и качественных товаров для ребенка требует внимания не только к внешнему виду, но и к целому ряду важных характеристик.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</w:rPr>
        <w:tab/>
        <w:t>С каждым годом вопрос качества детских товаров становится все более актуальным. По данным проверок, значительная часть продукции на рынке не соответствует установленным требованиям — в некоторых регионах этот показатель достигает 43% . Только в прошлом году на горячую линию Роспотребнадзора по вопросам качества детских товаров поступило около 10 тысяч обращений от родителей . Разберем, на что обращать внимание при выборе основных школьных принадлежностей.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b/>
          <w:bCs/>
          <w:i/>
          <w:iCs/>
          <w:color w:val="111111"/>
          <w:sz w:val="28"/>
          <w:szCs w:val="28"/>
        </w:rPr>
        <w:tab/>
        <w:t>Школьный рюкзак:</w:t>
      </w:r>
      <w:r>
        <w:rPr>
          <w:color w:val="111111"/>
          <w:sz w:val="28"/>
          <w:szCs w:val="28"/>
        </w:rPr>
        <w:t xml:space="preserve"> здоровье позвоночника начинается с правильного выбора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i/>
          <w:iCs/>
          <w:color w:val="111111"/>
          <w:sz w:val="28"/>
          <w:szCs w:val="28"/>
        </w:rPr>
        <w:tab/>
        <w:t>Рюкзак —</w:t>
      </w:r>
      <w:r>
        <w:rPr>
          <w:color w:val="111111"/>
          <w:sz w:val="28"/>
          <w:szCs w:val="28"/>
        </w:rPr>
        <w:t xml:space="preserve"> одна из самых важных покупок для школьника. Неправильно подобранная модель может стать причиной нарушений осанки, болей в спине и повышенной утомляемости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>
          <w:i/>
          <w:i/>
          <w:iCs/>
        </w:rPr>
      </w:pPr>
      <w:r>
        <w:rPr>
          <w:i/>
          <w:iCs/>
          <w:color w:val="111111"/>
          <w:sz w:val="28"/>
          <w:szCs w:val="28"/>
        </w:rPr>
        <w:tab/>
        <w:t>Главные критерии выбора: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>- Вес.</w:t>
      </w:r>
      <w:r>
        <w:rPr>
          <w:color w:val="111111"/>
          <w:sz w:val="28"/>
          <w:szCs w:val="28"/>
        </w:rPr>
        <w:t xml:space="preserve"> Для учащихся начальных классов пустой ранец должен весить не более 700 граммов, для средних и старших классов — не более 1 килограмма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>- Конструкция.</w:t>
      </w:r>
      <w:r>
        <w:rPr>
          <w:color w:val="111111"/>
          <w:sz w:val="28"/>
          <w:szCs w:val="28"/>
        </w:rPr>
        <w:t xml:space="preserve"> Обязательна жесткая формоустойчивая спинка.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</w:rPr>
        <w:t>Для младших школьников рекомендуется выбирать модели с анатомической или ортопедической спинкой, которая плотно прилегает к спине ребенка. Верхний край ранца не должен быть выше линии плеч, нижний — ниже поясницы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>- Лямки.</w:t>
      </w:r>
      <w:r>
        <w:rPr>
          <w:color w:val="111111"/>
          <w:sz w:val="28"/>
          <w:szCs w:val="28"/>
        </w:rPr>
        <w:t xml:space="preserve"> Ширина лямок должна составлять 3,5–4 см, длина — 60–70 см для возможности регулировки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>- Светоотражающие элементы.</w:t>
      </w:r>
      <w:r>
        <w:rPr>
          <w:color w:val="111111"/>
          <w:sz w:val="28"/>
          <w:szCs w:val="28"/>
        </w:rPr>
        <w:t xml:space="preserve"> Их наличие на передней и боковых частях рюкзака, а также на лямках обязательно — это повышает безопасность ребенка на дороге в темное время суток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</w:rPr>
        <w:tab/>
        <w:t>С 1 августа 2025 года в России действует новый ГОСТ 35096-2024, который ужесточает требования к школьным ранцам и рюкзакам, в том числе по использованию безопасных материалов и исключению вредных веществ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>Общий вес ранца</w:t>
      </w:r>
      <w:r>
        <w:rPr>
          <w:color w:val="111111"/>
          <w:sz w:val="28"/>
          <w:szCs w:val="28"/>
        </w:rPr>
        <w:t xml:space="preserve"> вместе с учебниками и тетрадями не должен превышать санитарные нормы: для 1–2 классов — 1,5 кг, 3–4 классов — 2 кг, 5–6 классов — 2,5 кг.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b/>
          <w:bCs/>
          <w:color w:val="111111"/>
          <w:sz w:val="28"/>
          <w:szCs w:val="28"/>
          <w:u w:val="none"/>
        </w:rPr>
        <w:tab/>
        <w:t>Школьная форма и одежда:</w:t>
      </w:r>
      <w:r>
        <w:rPr>
          <w:color w:val="111111"/>
          <w:sz w:val="28"/>
          <w:szCs w:val="28"/>
        </w:rPr>
        <w:t xml:space="preserve"> комфорт и безопасность Школьная форма должна быть не только эстетичной, но и безопасной для здоровья ребенка.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</w:rPr>
        <w:tab/>
      </w:r>
      <w:r>
        <w:rPr>
          <w:i/>
          <w:iCs/>
          <w:color w:val="111111"/>
          <w:sz w:val="28"/>
          <w:szCs w:val="28"/>
        </w:rPr>
        <w:t>Основные правила при выборе одежды: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 xml:space="preserve">- Состав ткани. </w:t>
      </w:r>
      <w:r>
        <w:rPr>
          <w:color w:val="111111"/>
          <w:sz w:val="28"/>
          <w:szCs w:val="28"/>
        </w:rPr>
        <w:t>Предпочтение следует отдавать натуральным материалам — хлопку, льну, вискозе для теплого времени года и шерсти для зимы. Синтетические ткани (допускается не более 30%) не обеспечивают должной воздухопроницаемости и гигроскопичности, накапливают статическое электричество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 xml:space="preserve">- Размер. </w:t>
      </w:r>
      <w:r>
        <w:rPr>
          <w:color w:val="111111"/>
          <w:sz w:val="28"/>
          <w:szCs w:val="28"/>
        </w:rPr>
        <w:t>Одежда должна быть по размеру, не сковывать движения и не иметь сдавливающих поясов. Покупка «на вырост» также нежелательна — она мешает ребенку при движении и может влиять на осанку</w:t>
      </w:r>
      <w:bookmarkStart w:id="0" w:name="_GoBack"/>
      <w:bookmarkEnd w:id="0"/>
      <w:r>
        <w:rPr>
          <w:color w:val="111111"/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 xml:space="preserve">- Качество пошива. </w:t>
      </w:r>
      <w:r>
        <w:rPr>
          <w:color w:val="111111"/>
          <w:sz w:val="28"/>
          <w:szCs w:val="28"/>
        </w:rPr>
        <w:t>Швы должны быть ровными, края обработаны. У одежды для младших школьников важно, чтобы швы не натирали кожу 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>На этикетке школьной формы обязательно должны быть указаны:</w:t>
      </w:r>
      <w:r>
        <w:rPr>
          <w:color w:val="111111"/>
          <w:sz w:val="28"/>
          <w:szCs w:val="28"/>
        </w:rPr>
        <w:t xml:space="preserve"> страна-изготовитель, наименование и адрес производителя, состав сырья, размер, дата изготовления и единый знак обращения на рынке.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b/>
          <w:bCs/>
          <w:color w:val="111111"/>
          <w:sz w:val="28"/>
          <w:szCs w:val="28"/>
        </w:rPr>
        <w:tab/>
        <w:t xml:space="preserve">Канцелярские принадлежности: </w:t>
      </w:r>
      <w:r>
        <w:rPr>
          <w:color w:val="111111"/>
          <w:sz w:val="28"/>
          <w:szCs w:val="28"/>
        </w:rPr>
        <w:t>мелочи, которые имеют значение При выборе тетрадей, ручек и других школьных принадлежностей эксперты советуют обращать внимание на следующие нюансы: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 xml:space="preserve">- Тетради. </w:t>
      </w:r>
      <w:r>
        <w:rPr>
          <w:color w:val="111111"/>
          <w:sz w:val="28"/>
          <w:szCs w:val="28"/>
        </w:rPr>
        <w:t>Листы должны быть достаточно плотными, предпочтительны желтоватого или синеватого оттенка, толщина линий — 0,1–0,4 мм.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 xml:space="preserve">- Ручки. </w:t>
      </w:r>
      <w:r>
        <w:rPr>
          <w:color w:val="111111"/>
          <w:sz w:val="28"/>
          <w:szCs w:val="28"/>
        </w:rPr>
        <w:t>Для младших школьников подходят стержни 0,5–0,7 мм. Ручка должна удобно лежать в руке, не быть слишком тяжелой или скользкой.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 xml:space="preserve">- Карандаши. </w:t>
      </w:r>
      <w:r>
        <w:rPr>
          <w:color w:val="111111"/>
          <w:sz w:val="28"/>
          <w:szCs w:val="28"/>
        </w:rPr>
        <w:t>Рекомендуются трехгранной формы с маркировкой «ТМ» или «НВ».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  <w:u w:val="single"/>
        </w:rPr>
        <w:t xml:space="preserve">- Ластики и пластилин. </w:t>
      </w:r>
      <w:r>
        <w:rPr>
          <w:color w:val="111111"/>
          <w:sz w:val="28"/>
          <w:szCs w:val="28"/>
        </w:rPr>
        <w:t>Лучше выбирать из натуральных материалов — это снижает риск аллергии.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111111"/>
          <w:sz w:val="28"/>
          <w:szCs w:val="28"/>
        </w:rPr>
        <w:tab/>
        <w:t>Главное правило для любых канцелярских товаров: они не должны иметь резкого химического запаха.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</w:r>
    </w:p>
    <w:p>
      <w:pPr>
        <w:pStyle w:val="Normal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Набережночелнинский</w:t>
      </w:r>
      <w:r>
        <w:rPr>
          <w:rFonts w:ascii="Times New Roman" w:hAnsi="Times New Roman"/>
          <w:b/>
          <w:i/>
          <w:iCs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филиал      </w:t>
      </w:r>
    </w:p>
    <w:p>
      <w:pPr>
        <w:pStyle w:val="Normal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Федерального</w:t>
      </w:r>
      <w:r>
        <w:rPr>
          <w:rFonts w:ascii="Times New Roman" w:hAnsi="Times New Roman"/>
          <w:b/>
          <w:i/>
          <w:iCs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бюджетного</w:t>
      </w:r>
      <w:r>
        <w:rPr>
          <w:rFonts w:ascii="Times New Roman" w:hAnsi="Times New Roman"/>
          <w:b/>
          <w:i/>
          <w:iCs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учреждения</w:t>
      </w:r>
      <w:r>
        <w:rPr>
          <w:rFonts w:ascii="Times New Roman" w:hAnsi="Times New Roman"/>
          <w:b/>
          <w:i/>
          <w:iCs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здравоохранения      </w:t>
      </w:r>
    </w:p>
    <w:p>
      <w:pPr>
        <w:pStyle w:val="Normal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«Центр</w:t>
      </w:r>
      <w:r>
        <w:rPr>
          <w:rFonts w:ascii="Times New Roman" w:hAnsi="Times New Roman"/>
          <w:b/>
          <w:i/>
          <w:iCs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гигиены</w:t>
      </w:r>
      <w:r>
        <w:rPr>
          <w:rFonts w:ascii="Times New Roman" w:hAnsi="Times New Roman"/>
          <w:b/>
          <w:i/>
          <w:iCs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и</w:t>
      </w:r>
      <w:r>
        <w:rPr>
          <w:rFonts w:ascii="Times New Roman" w:hAnsi="Times New Roman"/>
          <w:b/>
          <w:i/>
          <w:iCs/>
          <w:spacing w:val="-2"/>
          <w:sz w:val="22"/>
          <w:szCs w:val="22"/>
        </w:rPr>
        <w:t xml:space="preserve"> эпидемиологии </w:t>
      </w:r>
      <w:r>
        <w:rPr>
          <w:rFonts w:ascii="Times New Roman" w:hAnsi="Times New Roman"/>
          <w:b/>
          <w:i/>
          <w:iCs/>
          <w:sz w:val="22"/>
          <w:szCs w:val="22"/>
        </w:rPr>
        <w:t>в</w:t>
      </w:r>
      <w:r>
        <w:rPr>
          <w:rFonts w:ascii="Times New Roman" w:hAnsi="Times New Roman"/>
          <w:b/>
          <w:i/>
          <w:iCs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Республике</w:t>
      </w:r>
      <w:r>
        <w:rPr>
          <w:rFonts w:ascii="Times New Roman" w:hAnsi="Times New Roman"/>
          <w:b/>
          <w:i/>
          <w:iCs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Татарстан</w:t>
      </w:r>
      <w:r>
        <w:rPr>
          <w:rFonts w:ascii="Times New Roman" w:hAnsi="Times New Roman"/>
          <w:b/>
          <w:i/>
          <w:iCs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pacing w:val="-2"/>
          <w:sz w:val="22"/>
          <w:szCs w:val="22"/>
        </w:rPr>
        <w:t xml:space="preserve">(Татарстан)»      </w:t>
      </w:r>
    </w:p>
    <w:p>
      <w:pPr>
        <w:pStyle w:val="Style15"/>
        <w:bidi w:val="0"/>
        <w:spacing w:before="0" w:after="0"/>
        <w:ind w:left="0" w:right="0" w:hanging="0"/>
        <w:contextualSpacing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b/>
          <w:bCs/>
          <w:i/>
          <w:iCs/>
          <w:color w:val="111111"/>
          <w:spacing w:val="-2"/>
          <w:sz w:val="22"/>
          <w:szCs w:val="22"/>
        </w:rPr>
        <w:t>8 (8552) 46-41-52</w:t>
      </w:r>
      <w:bookmarkStart w:id="1" w:name="_GoBack_Копия_1"/>
      <w:bookmarkEnd w:id="1"/>
      <w:r>
        <w:rPr>
          <w:rFonts w:ascii="Times New Roman" w:hAnsi="Times New Roman"/>
          <w:b/>
          <w:bCs/>
          <w:i/>
          <w:iCs/>
          <w:color w:val="111111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111111"/>
          <w:spacing w:val="-2"/>
          <w:sz w:val="22"/>
          <w:szCs w:val="22"/>
        </w:rPr>
        <w:t xml:space="preserve">г.Набережные Челны, ул. Низаметдинова, 14.      </w:t>
      </w:r>
    </w:p>
    <w:p>
      <w:pPr>
        <w:pStyle w:val="Normal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850" w:gutter="0" w:header="0" w:top="85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f70a5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LibreOffice/7.5.6.2$Linux_X86_64 LibreOffice_project/50$Build-2</Application>
  <AppVersion>15.0000</AppVersion>
  <Pages>2</Pages>
  <Words>552</Words>
  <Characters>3378</Characters>
  <CharactersWithSpaces>3941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2026-08-14T10:54:00Z</dcterms:created>
  <dc:creator>Юрист</dc:creator>
  <dc:description/>
  <dc:language>ru-RU</dc:language>
  <cp:lastModifiedBy/>
  <dcterms:modified xsi:type="dcterms:W3CDTF">2026-08-18T15:27:49Z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