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E8A" w:rsidRDefault="00263BD1">
      <w:pPr>
        <w:pStyle w:val="afd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>Информация</w:t>
      </w:r>
    </w:p>
    <w:p w:rsidR="00187E8A" w:rsidRDefault="00263BD1">
      <w:pPr>
        <w:pStyle w:val="afd"/>
        <w:shd w:val="clear" w:color="auto" w:fill="FFFFFF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 xml:space="preserve">о реализации национальных проектов </w:t>
      </w:r>
    </w:p>
    <w:p w:rsidR="00187E8A" w:rsidRDefault="00263BD1">
      <w:pPr>
        <w:pStyle w:val="afd"/>
        <w:shd w:val="clear" w:color="auto" w:fill="FFFFFF"/>
        <w:spacing w:beforeAutospacing="0" w:afterAutospacing="0" w:line="240" w:lineRule="atLeast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городе Набережные Челны </w:t>
      </w:r>
    </w:p>
    <w:p w:rsidR="00187E8A" w:rsidRDefault="00263BD1">
      <w:pPr>
        <w:pStyle w:val="afd"/>
        <w:shd w:val="clear" w:color="auto" w:fill="FFFFFF"/>
        <w:spacing w:beforeAutospacing="0" w:afterAutospacing="0" w:line="240" w:lineRule="atLeast"/>
        <w:ind w:firstLine="709"/>
        <w:jc w:val="center"/>
      </w:pPr>
      <w:r>
        <w:rPr>
          <w:b/>
          <w:sz w:val="28"/>
          <w:szCs w:val="28"/>
        </w:rPr>
        <w:t>в 4 квартале 2025 года</w:t>
      </w:r>
    </w:p>
    <w:p w:rsidR="00187E8A" w:rsidRDefault="00187E8A">
      <w:pPr>
        <w:pStyle w:val="afd"/>
        <w:shd w:val="clear" w:color="auto" w:fill="FFFFFF"/>
        <w:spacing w:beforeAutospacing="0" w:afterAutospacing="0" w:line="240" w:lineRule="atLeast"/>
        <w:ind w:firstLine="709"/>
        <w:jc w:val="center"/>
        <w:rPr>
          <w:b/>
          <w:sz w:val="28"/>
          <w:szCs w:val="28"/>
        </w:rPr>
      </w:pPr>
    </w:p>
    <w:p w:rsidR="00187E8A" w:rsidRDefault="00263BD1">
      <w:pPr>
        <w:pStyle w:val="afd"/>
        <w:tabs>
          <w:tab w:val="left" w:pos="142"/>
        </w:tabs>
        <w:spacing w:beforeAutospacing="0" w:afterAutospacing="0" w:line="360" w:lineRule="auto"/>
        <w:ind w:firstLine="142"/>
        <w:jc w:val="center"/>
        <w:rPr>
          <w:b/>
          <w:sz w:val="28"/>
          <w:szCs w:val="28"/>
          <w:highlight w:val="white"/>
        </w:rPr>
      </w:pPr>
      <w:r>
        <w:rPr>
          <w:b/>
          <w:sz w:val="28"/>
          <w:szCs w:val="28"/>
          <w:highlight w:val="white"/>
        </w:rPr>
        <w:t>1. «Продолжительная активная жизнь»</w:t>
      </w:r>
    </w:p>
    <w:p w:rsidR="00187E8A" w:rsidRDefault="00263BD1">
      <w:pPr>
        <w:spacing w:line="360" w:lineRule="auto"/>
        <w:ind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В 2025 году в рамках реализации национального проекта «Продолжительная и активная жизнь»:</w:t>
      </w:r>
    </w:p>
    <w:p w:rsidR="00187E8A" w:rsidRDefault="00263BD1">
      <w:pPr>
        <w:spacing w:line="360" w:lineRule="auto"/>
        <w:ind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завершен капитальный ремонт </w:t>
      </w:r>
      <w:r>
        <w:rPr>
          <w:rFonts w:ascii="Times New Roman" w:hAnsi="Times New Roman"/>
          <w:sz w:val="28"/>
          <w:szCs w:val="28"/>
          <w:highlight w:val="white"/>
        </w:rPr>
        <w:t>детской поликлиники ГАУЗ «Камский детский медицинский центр» (по адресу: бульвар К.Тинчурина д.1) по федеральной программе «Модернизация первичного звена здравоохранения», на общую сумму 5,5 млн руб.;</w:t>
      </w:r>
    </w:p>
    <w:p w:rsidR="00187E8A" w:rsidRDefault="00263BD1">
      <w:pPr>
        <w:spacing w:line="360" w:lineRule="auto"/>
        <w:ind w:firstLine="709"/>
        <w:jc w:val="both"/>
        <w:rPr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- в поликлинические учреждения взрослой сети и в ГАУЗ «</w:t>
      </w:r>
      <w:r>
        <w:rPr>
          <w:rFonts w:ascii="Times New Roman" w:hAnsi="Times New Roman"/>
          <w:sz w:val="28"/>
          <w:szCs w:val="28"/>
          <w:highlight w:val="white"/>
        </w:rPr>
        <w:t xml:space="preserve">БСМП             им. Р.С.Акчурина» поставлено 16 наименований медицинского оборудования на общую сумму 33,3 млн руб. </w:t>
      </w:r>
    </w:p>
    <w:p w:rsidR="00187E8A" w:rsidRDefault="00263BD1">
      <w:pPr>
        <w:tabs>
          <w:tab w:val="left" w:pos="709"/>
        </w:tabs>
        <w:spacing w:line="360" w:lineRule="auto"/>
        <w:ind w:firstLine="709"/>
        <w:contextualSpacing/>
        <w:jc w:val="center"/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2. «Семья»</w:t>
      </w:r>
    </w:p>
    <w:p w:rsidR="00187E8A" w:rsidRDefault="00263BD1">
      <w:pPr>
        <w:tabs>
          <w:tab w:val="left" w:pos="709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рамках нацпроекта «Семья» предусмотрены мероприятия по поддержке семей и пожилых людей. </w:t>
      </w:r>
    </w:p>
    <w:p w:rsidR="00187E8A" w:rsidRDefault="00263BD1">
      <w:pPr>
        <w:tabs>
          <w:tab w:val="left" w:pos="709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 программы вошли региональны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проекты:</w:t>
      </w:r>
    </w:p>
    <w:p w:rsidR="00187E8A" w:rsidRDefault="00263BD1">
      <w:pPr>
        <w:spacing w:line="360" w:lineRule="auto"/>
        <w:ind w:left="283" w:firstLine="425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2.1. «Поддержка семьи»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Управлением социальной защиты МТЗ и СЗ РТ в г. Набережные Челны в 4 квартале 2025 г. с 112 малоимущими гражданами и семьями заключены социальные контракты, в том числе 62 семьи с детьми до 18 лет (11 – многодетных). За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год государственную социальную помощь получили 371 малоимущая семья и одиноко проживающий малоимущий гражданин, из них 212 с детьми до 18 лет, 42 из которых многодетные.  Общая сумма оказанной государственной социальной помощи на основании социального 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нтракта, по состоянию на 23.12.2025 г., составляет 76,6 млн. руб.</w:t>
      </w:r>
    </w:p>
    <w:p w:rsidR="00187E8A" w:rsidRDefault="00263BD1">
      <w:pPr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2.2. «Многодетная семья»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Отделением Республиканского центра материальной помощи в городе Набережные Челны основная компенсация части родительской платы за присмотр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 уход за ребенком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дошкольных образовательных организациях за 2025 год предоставлена 17 239 чел. на общую сумму 140,17 млн руб.</w:t>
      </w:r>
    </w:p>
    <w:p w:rsidR="00187E8A" w:rsidRDefault="00263BD1">
      <w:pPr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2.3. «Старшее поколение»</w:t>
      </w:r>
    </w:p>
    <w:p w:rsidR="00187E8A" w:rsidRDefault="00263BD1">
      <w:pPr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2025 год работниками отделения надомного социального обслуживания ГАУСО «КЦСОН «Доверие» обслужено 593 чел., из числа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диноких и одиноко проживающих граждан пожилого возраста и инвалидов, в том числе 182 (4кв), 221 (год) чел. в рамках системы долговременного ухода. На 24.12.2025 г. на социальном обслуживании в надомной форме находится 478 граждан, в т.ч. 2 ветерана СВО,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них 170 получают услуги в рамках системы долговременного ухода, в т.ч. 1 ветеран СВО.</w:t>
      </w:r>
    </w:p>
    <w:p w:rsidR="00187E8A" w:rsidRDefault="00263BD1">
      <w:pPr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отделении функционирует пункт предоставления технических средств реабилитации в пользование. Пункт оснащен 197 техническими средствами реабилитации, которые передаются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 временное безвозмездное пользование получателям социальных услуг Центра, а также инвалидам, которые еще не получили ТСР через Социальный фонд. </w:t>
      </w:r>
    </w:p>
    <w:p w:rsidR="00187E8A" w:rsidRDefault="00263BD1">
      <w:pPr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Центре «Доверие» реализуется инновационная технология «Школа ухода». Технология предусматривает проведение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бесплатных обучающих занятий для родственников, специалистов и других лиц, осуществляющих уход за маломобильными гражданами на дому. Обучение в рамках образовательных мероприятий проекта прошли в 4 квартале 2025 г. – 73 и за 2025 год 315 родственников пож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илых и инвалидов, 83 человека из числа персонала учреждений социального обслуживания. </w:t>
      </w:r>
    </w:p>
    <w:p w:rsidR="00187E8A" w:rsidRDefault="00263BD1">
      <w:pPr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базе ГАУСО «КЦСОН «Доверие» МТЗ и СЗ РТ за 2025 год проведены 14 мероприятий Школы активного долголетия с охватом 36 участников старшего возраста. </w:t>
      </w:r>
    </w:p>
    <w:p w:rsidR="00187E8A" w:rsidRDefault="00263BD1">
      <w:pPr>
        <w:tabs>
          <w:tab w:val="left" w:pos="142"/>
          <w:tab w:val="left" w:pos="284"/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Привлечено 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участию в проведении мероприятий для получателей социальных услуг 23 «серебряных волонтера».</w:t>
      </w:r>
    </w:p>
    <w:p w:rsidR="00187E8A" w:rsidRDefault="00187E8A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</w:rPr>
      </w:pPr>
    </w:p>
    <w:p w:rsidR="00187E8A" w:rsidRDefault="00187E8A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87E8A" w:rsidRDefault="00187E8A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87E8A" w:rsidRDefault="00187E8A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87E8A" w:rsidRDefault="00263BD1">
      <w:pPr>
        <w:spacing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2.4. «Семейные ценности и инфраструктура культуры»</w:t>
      </w:r>
    </w:p>
    <w:p w:rsidR="00187E8A" w:rsidRDefault="00263BD1">
      <w:pPr>
        <w:spacing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реализации федерального проекта «Семейные ценности и инфраструктура» ГАУК «Набережночелнинский госу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дарственный драматический театр им.А.Гилязова» было выделено 6,8 млн руб. – заключено контрактов на сумму 6,8 млн руб.</w:t>
      </w:r>
    </w:p>
    <w:p w:rsidR="00187E8A" w:rsidRDefault="00263BD1">
      <w:pPr>
        <w:spacing w:line="360" w:lineRule="auto"/>
        <w:ind w:firstLine="709"/>
        <w:jc w:val="center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3. «Кадры»</w:t>
      </w:r>
    </w:p>
    <w:p w:rsidR="00187E8A" w:rsidRDefault="00263BD1">
      <w:pPr>
        <w:pStyle w:val="ConsPlusNormal"/>
        <w:tabs>
          <w:tab w:val="left" w:pos="142"/>
        </w:tabs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рамках национального проекта «Кадры» реализуются инициативы:</w:t>
      </w:r>
    </w:p>
    <w:p w:rsidR="00187E8A" w:rsidRDefault="00263BD1">
      <w:pPr>
        <w:widowControl w:val="0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tt-RU" w:eastAsia="ru-RU"/>
        </w:rPr>
        <w:t xml:space="preserve">.1. </w:t>
      </w:r>
      <w:r>
        <w:rPr>
          <w:b/>
          <w:sz w:val="28"/>
          <w:szCs w:val="28"/>
          <w:shd w:val="clear" w:color="auto" w:fill="FFFFFF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tt-RU" w:eastAsia="ru-RU"/>
        </w:rPr>
        <w:t>Управление рынком труда»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рамках модернизации произошла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реорганизация службы занятости Республики Татарстан. Центр занятости города Набережные Челны стал структурным подразделением ГКУ «Центр занятости Республики Татарстан» и переименован в Департамент ГКУ ЦЗН Республики Татарстан по г. Набережные Челны и Тукае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вскому району.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период с 1 апреля по 15 июня 2025 года Кадровым центром города Набережные Челны проводился опрос работодателей о перспективной кадровой потребности предприятий и организаций в профессиональных кадрах для обеспечения их подготовки в системе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высшего и среднего профессионального образования по соответствующим специальностям и профессиям. </w:t>
      </w:r>
    </w:p>
    <w:p w:rsidR="00187E8A" w:rsidRDefault="00187E8A">
      <w:pPr>
        <w:widowControl w:val="0"/>
        <w:spacing w:after="120" w:line="360" w:lineRule="auto"/>
        <w:ind w:firstLine="709"/>
        <w:jc w:val="both"/>
        <w:rPr>
          <w:shd w:val="clear" w:color="auto" w:fill="FFFFFF"/>
        </w:rPr>
      </w:pPr>
    </w:p>
    <w:p w:rsidR="00187E8A" w:rsidRDefault="00263BD1">
      <w:pPr>
        <w:widowControl w:val="0"/>
        <w:spacing w:after="120"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3.2. «Образование для рынка труда»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2025 году в рамках федерального проекта «Активные меры содействия занятости» национального проекта «Кадры» реализуется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мероприятие по организации профессионального обучения и дополнительного профессионального образования граждан, с учетом потребности работодателей в кадрах и в целях приобретения или развития гражданами имеющихся знаний, компетенций и навыков для обеспечени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я их занятости. Реализация мероприятия регулируется постановлением Правительства РФ № 291 от 07.03.2025г.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Гражданин может принять участие в мероприятиях по обучению, если он не являлся участником мероприятия по обучению в рамках федерального проекта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«Содей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ствие занятости» национального проекта «Демография», а также мероприятий по организации профессионального обучения и дополнительного профессионального образования работников организаций оборонно-промышленного комплекса.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Принять участие в мероприятии по 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учению имеют право граждане следующих категорий: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а) граждане в возрасте 50 лет и старше, граждане предпенсионного возраста;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б) граждане, фактически осуществляющие уход за ребенком и находящиеся в отпуске по уходу за ребенком до достижения им возраста 3 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ет;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в) женщины, не состоящие в трудовых отношениях и имеющие детей дошкольного возраста в возрасте от 0 до 7 лет включительно;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г) инвалиды;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д) граждане, обратившиеся в органы службы занятости в целях поиска работы;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е) безработные граждане, зарегистрирован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ные в органах службы занятости;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ж) ветераны боевых действий, принимавшие участие в специальной военной операции, уволенные с военной службы;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з) члены семей погибших участников специальной военной операции;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и) молодежь в возрасте до 35 лет включительно, от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носящаяся к категориям: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• граждан, которые со дня окончания военной службы по призыву не являются занятыми в соответствии с законодательством о занятости населения в течение 4 месяцев и более;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• граждан, не имеющих среднего профессионального образо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вания, высшего образования и не обучающихся по образовательным программам среднего профессионального или высшего образования (в случае обучения по основным программам профессионального обучения);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• граждан, которые со дня выдачи им документа об образов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ании и (или) о квалификации не являются занятыми в соответствии с законодательством о занятости населения в течение 4 месяцев и более.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В целях организации обучения и содействия занятости с гражданином заключается договор.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Организация профессионального обуч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ения дополнительного профессионального образования осуществляется в соответствии с перечнем востребованных на рынке труда профессий, должностей, специальностей, утверждённым решением межведомственной рабочей группы по восстановлению рынка труда.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Заявление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обучение граждане подают на портале «Работа в России».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2025 году к обучению приступили 874 чел.</w:t>
      </w:r>
    </w:p>
    <w:p w:rsidR="00187E8A" w:rsidRDefault="00263BD1">
      <w:pPr>
        <w:widowControl w:val="0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3.3. «Активные меры содействия занятости»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В рамках федерального проекта «Кадры» работодатели получают компенсации при найме отдельных категорий граждан, 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которым сложно трудоустроиться самостоятельно, а также за оборудование рабочих мест для людей с инвалидностью.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По программе «Мероприятия по возмещению части расходов работодателю по оборудованию рабочих мест для трудоустройства инвалидов I и II группы, ве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теранов боевых действий, имеющих инвалидность, в целях стимулирования работодателей в приеме на работу инвалидов в соответствии с приказом Фонда пенсионного и социального страхования Российской Федерации от 29 декабря 2024 г. № 2712» всего трудоустроились 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5 чел.: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- в ООО «Союз-Логистик» 3 участника СВО;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- в ООО «АРТАЗ» 1 чел., инвалид 2 группы;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- в ООО «БАБАЙ» 1 чел., инвалид 2 группы.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По программе «Государственная поддержка стимулирования найма отдельных категорий граждан в соответствии с приказом Фонда 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пенсионного и социального страхования Российской Федерации от 29 декабря 2024 г. № 2714» трудоустроились 9 чел. в организации: ООО «Набережночелнинский трубный завод», ООО «Хайер Индастри Рус», АО «ТОРГОВО-ФИНАНСОВОЙ КОМПАНИИ «КАМАЗ», ПАО «КАМАЗ», ООО Торг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овый дом «Кориб», ООО «АРТАЗ» и ООО «Союз-Логистик».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lastRenderedPageBreak/>
        <w:t>По программе «Мобильность 2.0» (развитие внутренней миграции) сотрудников привлекают на работу в другие города и регионы.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С начала 2025 года по программе «Государственная поддержка трудоустройства работн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иков из другой местности или других территорий в соответствии с приказом Фонда пенсионного и социального страхования Российской Федерации от 29 декабря 2024 г. № 2713» трудоустроились 6 чел. в ПАО «КАМАЗ» из Республики Башкортостан, Удмуртии, Пермского кра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я и Оренбургской области.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Реализуются мероприятия в рамках обеспечения достижения целей, показателей и результатов федерального проекта «Активные меры содействия занятости» национального проекта «Кадры» по организации временного трудоустройства работников,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 в отношении которых по инициативе работодателя принято решение о введении режима неполного рабочего дня (смены) и (или) неполной рабочей недели, простоя, проведении мероприятий по увольнению в связи с ликвидацией организации либо прекращением деятельности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 индивидуальным предпринимателем, сокращением численности или штата работников организации, индивидуального предпринимателя согласно Постановления Кабинета Министров Республики Татарстан от 23.03.2022 № 258 «О мерах по реализации дополнительных мероприятий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, направленных на снижение напряженности на рынке труда Республики Татарстан в 2022 – 2025 годах» (последняя редакция от 27.10.2025г. №865). ПАО «КАМАЗ» планирует трудоустроить по данной программе 3636 человек.</w:t>
      </w:r>
    </w:p>
    <w:p w:rsidR="00187E8A" w:rsidRDefault="00263BD1">
      <w:pPr>
        <w:widowControl w:val="0"/>
        <w:spacing w:line="360" w:lineRule="auto"/>
        <w:ind w:firstLine="709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3.4. «Человек труда»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В целях обеспечения кадр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овой потребности приоритетных для экономики предприятий, повышения информированности граждан о состоянии рынка труда, востребованных профессиях и содействия занятости граждан, ищущих работу, безработных, студентов 18 апреля 2025 года в Кадровом центре «Раб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>ота России» прошел 1-й региональный этап Всероссийской ярмарки трудоустройства «Работа России. Время возможностей».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27-28 июня 2025 года в рамках национального проекта «Кадры» в Кадровом 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lastRenderedPageBreak/>
        <w:t>центре «Работа России» и на Майдане парка Прибрежный города Набережны</w:t>
      </w:r>
      <w:r>
        <w:rPr>
          <w:rFonts w:ascii="Times New Roman" w:eastAsiaTheme="minorHAnsi" w:hAnsi="Times New Roman" w:cs="Times New Roman"/>
          <w:sz w:val="28"/>
          <w:szCs w:val="28"/>
          <w:shd w:val="clear" w:color="auto" w:fill="FFFFFF"/>
        </w:rPr>
        <w:t xml:space="preserve">е Челны состоялся федеральный этап Всероссийской ярмарки трудоустройства «Работа России. Время возможностей». </w:t>
      </w:r>
    </w:p>
    <w:p w:rsidR="00187E8A" w:rsidRDefault="00187E8A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187E8A" w:rsidRDefault="00263BD1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«Молодежь и дети»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городе Набережные Челны в рамках нацпроекта «Молодежь и дети» в 2025 году   реализуются федеральные проекты и подпрограмм</w:t>
      </w:r>
      <w:r>
        <w:rPr>
          <w:rFonts w:ascii="Times New Roman" w:hAnsi="Times New Roman" w:cs="Times New Roman"/>
          <w:sz w:val="28"/>
          <w:szCs w:val="28"/>
        </w:rPr>
        <w:t xml:space="preserve">ы «Все лучшее детям», «Профессионалитет», «Педагоги и наставники», «Россия — страна возможностей». 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названных проектов и мероприятий подзаконные нормативные акты, предусматривающие механизмы финансирования в части оснащения образовательных органи</w:t>
      </w:r>
      <w:r>
        <w:rPr>
          <w:rFonts w:ascii="Times New Roman" w:hAnsi="Times New Roman" w:cs="Times New Roman"/>
          <w:sz w:val="28"/>
          <w:szCs w:val="28"/>
        </w:rPr>
        <w:t>заций материально-технической базой, на муниципальном уровне не принимались.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4.1. «Все лучшее детям»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проекта </w:t>
      </w:r>
      <w:r>
        <w:rPr>
          <w:rFonts w:ascii="Times New Roman" w:eastAsiaTheme="minorHAnsi" w:hAnsi="Times New Roman" w:cs="Times New Roman"/>
          <w:sz w:val="28"/>
          <w:szCs w:val="28"/>
        </w:rPr>
        <w:t>завершилось строительство общеобразовательной школы на 1224 места в мкр.22 ЖР «Замелекесье».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</w:rPr>
        <w:t>Продолжается оснащение общеобразовательных организаций средствами обучения и воспитания для реализации учебных предметов «Основы безопасности защиты Родины» и «Труд», Министерством образования и науки Республики Татарстан (далее МО и НРТ) определены 50 общ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еобразовательных организаций. 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4.2. «Мы вместе»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федерального проекта «Мы вместе» реализуются мероприятия по поддержке и развитию способностей и талантов у детей, вовлечению их в общественное движение.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городе функционируют 13 учреждений дополните</w:t>
      </w:r>
      <w:r>
        <w:rPr>
          <w:rFonts w:ascii="Times New Roman" w:hAnsi="Times New Roman" w:cs="Times New Roman"/>
          <w:sz w:val="28"/>
          <w:szCs w:val="28"/>
        </w:rPr>
        <w:t xml:space="preserve">льного образования, в которых занимается 18 672 ребенка.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Доля детей, охваченных движением «Юнармия» – 3,2%.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28534 человек охваченные движением «Движение первых» создали личные кабинеты, «Орлята России» объединили в своих рядах 31 274 учащихся </w:t>
      </w:r>
      <w:r>
        <w:rPr>
          <w:rFonts w:ascii="Times New Roman" w:hAnsi="Times New Roman" w:cs="Times New Roman"/>
          <w:sz w:val="28"/>
          <w:szCs w:val="28"/>
        </w:rPr>
        <w:lastRenderedPageBreak/>
        <w:t>начальных кл</w:t>
      </w:r>
      <w:r>
        <w:rPr>
          <w:rFonts w:ascii="Times New Roman" w:hAnsi="Times New Roman" w:cs="Times New Roman"/>
          <w:sz w:val="28"/>
          <w:szCs w:val="28"/>
        </w:rPr>
        <w:t>ассов.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Охват учащихся дополнительным образованием по данным единой информационной системы дополнительного образования составляет 84,8%.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4.3. «Педагоги и наставники»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федерального проекта «Педагоги и наставники»выделено финансирование из федеральног</w:t>
      </w:r>
      <w:r>
        <w:rPr>
          <w:rFonts w:ascii="Times New Roman" w:hAnsi="Times New Roman" w:cs="Times New Roman"/>
          <w:sz w:val="28"/>
          <w:szCs w:val="28"/>
        </w:rPr>
        <w:t>о бюджета в виде ежемесячного денежного вознаграждения советникам директоров по воспитанию и взаимодействию с детскими общественными объединениями в размере 5 тыс. руб. на общую сумму 6,2 млн руб. Проведение мероприятий по обеспечению деятельности советник</w:t>
      </w:r>
      <w:r>
        <w:rPr>
          <w:rFonts w:ascii="Times New Roman" w:hAnsi="Times New Roman" w:cs="Times New Roman"/>
          <w:sz w:val="28"/>
          <w:szCs w:val="28"/>
        </w:rPr>
        <w:t>ов директора по воспитанию и взаимодействию с детскими общественными объединениями в муниципальных общеобразовательных организациях (заработная плата советников по воспитанию) осуществлялась из федерального бюджета на сумму 22,4 млн руб. и из бюджета респу</w:t>
      </w:r>
      <w:r>
        <w:rPr>
          <w:rFonts w:ascii="Times New Roman" w:hAnsi="Times New Roman" w:cs="Times New Roman"/>
          <w:sz w:val="28"/>
          <w:szCs w:val="28"/>
        </w:rPr>
        <w:t>блики на сумму 5,9 млн руб., на общую сумму 28,3 млн руб.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федерального проекта «Педагоги и наставники» предоставлены</w:t>
      </w:r>
      <w:r>
        <w:rPr>
          <w:rFonts w:ascii="Times New Roman" w:hAnsi="Times New Roman" w:cs="Times New Roman"/>
          <w:sz w:val="28"/>
          <w:szCs w:val="28"/>
        </w:rPr>
        <w:t xml:space="preserve"> субвенции 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образования, обеспечение дополнительного образования детей в муниципальных общеобразовательных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организациях, в части ежемесячного денежного вознаграждения за классное руководство педагогическим работникам в сумме 163,7 млн руб.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федерального проекта «Педагоги и наставники» в марте 2025 года педагоги города приняли участие в республиканских </w:t>
      </w:r>
      <w:r>
        <w:rPr>
          <w:rFonts w:ascii="Times New Roman" w:hAnsi="Times New Roman" w:cs="Times New Roman"/>
          <w:sz w:val="28"/>
          <w:szCs w:val="28"/>
        </w:rPr>
        <w:t>этапах конкурсов профессионального мастерства «Учитель года», «Воспитатель года», «Лучший учитель татарского языка и литературы». Ерофеева Мария Александровна, учитель русского языка и литературы МАОУ «СОШ №35» стала победителем республиканского этапа Всер</w:t>
      </w:r>
      <w:r>
        <w:rPr>
          <w:rFonts w:ascii="Times New Roman" w:hAnsi="Times New Roman" w:cs="Times New Roman"/>
          <w:sz w:val="28"/>
          <w:szCs w:val="28"/>
        </w:rPr>
        <w:t>оссийского конкурса «Учитель года России»,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приняла участие в заключительном этапе Всероссийского конкурса «Учитель года России». Мельникова Анна Анатольевна, учитель начальных классов МБОУ «Центр образования №62» заняла 2 место в заключительном этапе </w:t>
      </w:r>
      <w:r>
        <w:rPr>
          <w:rFonts w:ascii="Times New Roman" w:hAnsi="Times New Roman" w:cs="Times New Roman"/>
          <w:sz w:val="28"/>
          <w:szCs w:val="28"/>
          <w:highlight w:val="white"/>
        </w:rPr>
        <w:lastRenderedPageBreak/>
        <w:t>Всеро</w:t>
      </w:r>
      <w:r>
        <w:rPr>
          <w:rFonts w:ascii="Times New Roman" w:hAnsi="Times New Roman" w:cs="Times New Roman"/>
          <w:sz w:val="28"/>
          <w:szCs w:val="28"/>
          <w:highlight w:val="white"/>
        </w:rPr>
        <w:t>ссийского конк</w:t>
      </w:r>
      <w:r>
        <w:rPr>
          <w:rFonts w:ascii="Times New Roman" w:hAnsi="Times New Roman" w:cs="Times New Roman"/>
          <w:sz w:val="28"/>
          <w:szCs w:val="28"/>
        </w:rPr>
        <w:t xml:space="preserve">урса «Первый учитель». 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 полугодии 2025 года на курсах повышения квалификации обучились 1559 педагогических работников города.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В рамках федерального проекта  «Россия — страна возможностей» за 12  месяцев 2025 года выполнены показатели: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1) </w:t>
      </w:r>
      <w:r>
        <w:rPr>
          <w:rFonts w:ascii="Times New Roman" w:hAnsi="Times New Roman" w:cs="Times New Roman"/>
          <w:sz w:val="28"/>
          <w:szCs w:val="28"/>
          <w:highlight w:val="white"/>
        </w:rPr>
        <w:t>«Доля молодых людей, принявших участие в проектах и программах, направленных на профессиональное, личностное развитие, реализованных органами местного самоуправления, исполнительными органами субъекта Российской Федерации и финансируемыми ими организациями</w:t>
      </w:r>
      <w:r>
        <w:rPr>
          <w:rFonts w:ascii="Times New Roman" w:hAnsi="Times New Roman" w:cs="Times New Roman"/>
          <w:sz w:val="28"/>
          <w:szCs w:val="28"/>
          <w:highlight w:val="white"/>
        </w:rPr>
        <w:t>» -23 298 человек.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2) «Охват молодежи деятельностью инфраструктуры молодежной политики» - 104 850 человек.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В рамках федерального проекта «Мы вместе (Воспитание гармонично развитой личности)» за 11 месяцев 2025 года выполнены показатели: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1) «Доля молодых лю</w:t>
      </w:r>
      <w:r>
        <w:rPr>
          <w:rFonts w:ascii="Times New Roman" w:hAnsi="Times New Roman" w:cs="Times New Roman"/>
          <w:sz w:val="28"/>
          <w:szCs w:val="28"/>
          <w:highlight w:val="white"/>
        </w:rPr>
        <w:t>дей, участвующих в проектах и программах, направленных на патриотическое воспитание» - 90 421 человек.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2) «Доля молодых семей, в том числе молодых семей имеющих детей, участвующих в мероприятиях по продвижению традиционных духовно-нравственных ценностей, в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том числе в проектах и программах, направленных на патриотическое воспитание, вовлечение в добровольческую и общественную деятельность — 4 547 ед.</w:t>
      </w: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3) Доля молодых людей, вовлеченных в добровольческую и общественную деятельность — 32 745 человек.</w:t>
      </w:r>
    </w:p>
    <w:p w:rsidR="00187E8A" w:rsidRDefault="00187E8A">
      <w:pPr>
        <w:tabs>
          <w:tab w:val="left" w:pos="675"/>
        </w:tabs>
        <w:jc w:val="both"/>
        <w:rPr>
          <w:sz w:val="20"/>
          <w:szCs w:val="20"/>
        </w:rPr>
      </w:pPr>
    </w:p>
    <w:p w:rsidR="00187E8A" w:rsidRDefault="00263BD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</w:t>
      </w:r>
      <w:r>
        <w:rPr>
          <w:rFonts w:ascii="Times New Roman" w:hAnsi="Times New Roman" w:cs="Times New Roman"/>
          <w:sz w:val="28"/>
          <w:szCs w:val="28"/>
        </w:rPr>
        <w:t xml:space="preserve"> названных проектов и мероприятий подзаконные нормативные акты, предусматривающие механизмы финансирования, на муниципальном уровне не принимались.</w:t>
      </w:r>
    </w:p>
    <w:p w:rsidR="00187E8A" w:rsidRDefault="00263BD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4.4. «Профессионалитет»</w:t>
      </w:r>
    </w:p>
    <w:p w:rsidR="00187E8A" w:rsidRDefault="00263BD1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undefined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Завершился капитальный ремонт общежития ГАПОУ «Набережночелнинский политехнический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колледж» на общую сумму 62,5 млн руб.</w:t>
      </w:r>
    </w:p>
    <w:p w:rsidR="00187E8A" w:rsidRDefault="00187E8A"/>
    <w:p w:rsidR="00187E8A" w:rsidRDefault="00187E8A"/>
    <w:p w:rsidR="00187E8A" w:rsidRDefault="00187E8A"/>
    <w:p w:rsidR="00187E8A" w:rsidRDefault="00187E8A"/>
    <w:p w:rsidR="00187E8A" w:rsidRDefault="00187E8A"/>
    <w:p w:rsidR="00187E8A" w:rsidRDefault="00263BD1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highlight w:val="white"/>
          <w:lang w:eastAsia="ru-RU" w:bidi="hi-IN"/>
        </w:rPr>
        <w:t>5.  «Инфраструктура для жизни»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</w:rPr>
        <w:t>5.1. «Формирование комфортной городской среды»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>В рамках регионального проекта «Формирование комфортной городской среды» в 2025 году завершены работы по благоустройству: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 xml:space="preserve">- парка «Прибрежный» (4 этап) на сумму  18 млн руб.;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 xml:space="preserve">- набережной имени Фикрята Табеева (3 этап) на сумму  100, 5 млн руб.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>По всем пространствам проекты разработаны с учетом пожеланий жителей, которые были озвучены на общественных слушаниях.</w:t>
      </w:r>
    </w:p>
    <w:p w:rsidR="00187E8A" w:rsidRDefault="00187E8A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  <w:t>5.2. «Регио</w:t>
      </w:r>
      <w:r>
        <w:rPr>
          <w:rFonts w:ascii="Times New Roman" w:hAnsi="Times New Roman" w:cs="Times New Roman"/>
          <w:b/>
          <w:bCs/>
          <w:sz w:val="28"/>
          <w:szCs w:val="28"/>
          <w:highlight w:val="white"/>
        </w:rPr>
        <w:t>нальная и местная дорожная сеть»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2025 году по федеральному проекту «Безопасные качественные дороги» выполнены работы по капитальному ремонту проспекта Яшьлек,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сумма финансирования – 804,1млн руб.</w:t>
      </w:r>
    </w:p>
    <w:p w:rsidR="00187E8A" w:rsidRDefault="00187E8A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  <w:lang w:val="tt-RU" w:eastAsia="ru-RU"/>
        </w:rPr>
        <w:t xml:space="preserve">5.2. «Жилье» 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 xml:space="preserve"> 2025 году    введено в эксплуатацию 290 тыс. кв. м. , в том числе: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tt-RU" w:eastAsia="ru-RU"/>
        </w:rPr>
        <w:t>- инвестиционное жилье – 209,2 тыс. кв. м.;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val="tt-RU" w:eastAsia="ru-RU"/>
        </w:rPr>
        <w:t>- из них по программе «Социальная ипотека» – 25,3 тыс. кв. м.;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val="tt-RU" w:eastAsia="ru-RU"/>
        </w:rPr>
        <w:t>- арендный дом – 26,1 тыс. кв. м.;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val="tt-RU" w:eastAsia="ru-RU"/>
        </w:rPr>
        <w:tab/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val="tt-RU" w:eastAsia="ru-RU"/>
        </w:rPr>
        <w:t>- индивидуальное жилищное строительство – 29,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val="tt-RU" w:eastAsia="ru-RU"/>
        </w:rPr>
        <w:t>2 тыс. кв. м.</w:t>
      </w:r>
    </w:p>
    <w:p w:rsidR="00187E8A" w:rsidRDefault="00187E8A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tt-RU" w:eastAsia="ru-RU"/>
        </w:rPr>
      </w:pPr>
    </w:p>
    <w:p w:rsidR="00187E8A" w:rsidRDefault="00263BD1">
      <w:pPr>
        <w:tabs>
          <w:tab w:val="left" w:pos="1134"/>
        </w:tabs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FF"/>
          <w:lang w:val="tt-RU"/>
        </w:rPr>
        <w:t>5.3. «Модернизация коммунальной инфраструктуры»</w:t>
      </w:r>
      <w:r>
        <w:rPr>
          <w:rFonts w:ascii="Times New Roman" w:hAnsi="Times New Roman" w:cs="Times New Roman"/>
          <w:b/>
          <w:sz w:val="28"/>
          <w:szCs w:val="28"/>
          <w:highlight w:val="white"/>
          <w:shd w:val="clear" w:color="auto" w:fill="FFFFFF"/>
          <w:lang w:val="tt-RU"/>
        </w:rPr>
        <w:tab/>
      </w:r>
    </w:p>
    <w:p w:rsidR="00187E8A" w:rsidRDefault="00263BD1">
      <w:pPr>
        <w:tabs>
          <w:tab w:val="left" w:pos="1134"/>
        </w:tabs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white"/>
        </w:rPr>
      </w:pPr>
      <w:r>
        <w:rPr>
          <w:rFonts w:ascii="Times New Roman" w:eastAsia="Calibri" w:hAnsi="Times New Roman" w:cs="Times New Roman"/>
          <w:sz w:val="28"/>
          <w:szCs w:val="28"/>
          <w:highlight w:val="white"/>
        </w:rPr>
        <w:t>В реализацию федеральной программы «Модернизация</w:t>
      </w:r>
      <w:r>
        <w:rPr>
          <w:rFonts w:ascii="Times New Roman" w:eastAsia="Calibri" w:hAnsi="Times New Roman" w:cs="Times New Roman"/>
          <w:sz w:val="28"/>
          <w:szCs w:val="28"/>
          <w:highlight w:val="white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highlight w:val="white"/>
        </w:rPr>
        <w:t>коммунальной инфраструктуры» в 2025 году проведены работы по 29 объектам на сумму 1,8 млрд руб.</w:t>
      </w:r>
    </w:p>
    <w:p w:rsidR="00187E8A" w:rsidRDefault="00187E8A">
      <w:pPr>
        <w:tabs>
          <w:tab w:val="left" w:pos="1134"/>
        </w:tabs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shd w:val="clear" w:color="auto" w:fill="FFFFFF"/>
        </w:rPr>
      </w:pPr>
    </w:p>
    <w:p w:rsidR="00187E8A" w:rsidRDefault="00187E8A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E8A" w:rsidRDefault="00187E8A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E8A" w:rsidRDefault="00187E8A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7E8A" w:rsidRDefault="00263BD1">
      <w:pPr>
        <w:tabs>
          <w:tab w:val="left" w:pos="1134"/>
        </w:tabs>
        <w:spacing w:line="360" w:lineRule="auto"/>
        <w:ind w:firstLine="709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6. «Эффективная конкурентная экономика»</w:t>
      </w:r>
    </w:p>
    <w:p w:rsidR="00187E8A" w:rsidRDefault="00263BD1">
      <w:pPr>
        <w:spacing w:after="120" w:line="360" w:lineRule="auto"/>
        <w:ind w:firstLine="709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6.1. «Малое и среднее предпринимательство и поддержка индивидуальной предпринимательской инициативы»</w:t>
      </w:r>
    </w:p>
    <w:p w:rsidR="00187E8A" w:rsidRDefault="00263BD1">
      <w:pPr>
        <w:tabs>
          <w:tab w:val="left" w:pos="1134"/>
        </w:tabs>
        <w:spacing w:after="120"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01.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.202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количество зарегистрированных налогоплательщиков, выбравших специальный налоговый режим, составило 63039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чел.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Для самозанятых граждан применя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ется специальный налоговый режим «Налог на профессиональный доход».</w:t>
      </w:r>
    </w:p>
    <w:p w:rsidR="00187E8A" w:rsidRPr="00263BD1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63B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r w:rsidRPr="00263B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 итогам </w:t>
      </w:r>
      <w:r w:rsidRPr="00263B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2025 года сумма государственной поддержки малых предприятий составила 765,4</w:t>
      </w:r>
      <w:r w:rsidRPr="00263B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млн руб., в том числе:</w:t>
      </w:r>
      <w:r w:rsidRPr="00263B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 программам НО «Фонд поддержки предпринимательства Республики Татарстан» микрозаймы выданы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91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предприятиям на сумму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301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млн руб.;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 предоставленным  гарантиям и  поручительствам   Гарантийного фонда РТ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74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компаниям на сумму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359.3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млн руб;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программе «Лизинг» 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компаниям – 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71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,7</w:t>
      </w:r>
      <w:r w:rsidRPr="00263BD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млн руб;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 программе парнтнерским финансам 6 к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омпаний – 10,49 млн руб.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предприятиями малого бизнеса проведены встречи: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18.02.2025 - бизнес-миссия Союза «Торгово-промышленная палата Республики Татарстан» в го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роде Набережные Челны;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- 06.03.2025 - коммуникационная сессия в формате панельной дискуссии по экономике и денежно-кредитной политике Банка России;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-19.05.-24.05.2025 - "Бизнес-лагерь" для действующих предпринимателей коворкинг «Home office»;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-22.05.2025 –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масштабное мероприятие для бизнеса и предпринимателей «Альфа-Конфа»;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- 01.07.2025 – Семинар на тему «Актуальные меры поддержки субъектов малого и среднего предпринимательства»;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- 10.07.2025 -  встреча главы Управления ФНС по РТ Марат Сафиуллин с бизнес-со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обществом в Набережных Челнах;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- 12.08.2025 - семинар для специалистов в сфере госзакупок;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- 04.09.2025 - семинар на тему «Актуальные меры поддержки субъектов малого и среднего предпринимательства» для резидентов КИП «Мастер»;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- 18.09.2025 - семинар «Первы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 шаги в бизнесе: продажа товаров на Wildberries и открытие ПВЗ»;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- 30.10.2025 – семинар на тему «Актуальные меры поддержки субъектов малого и среднего предпринимательства» и «Банковские продукты для МСП»;</w:t>
      </w:r>
    </w:p>
    <w:p w:rsidR="00187E8A" w:rsidRPr="00263BD1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- 18.12.2025 – семинар на тему «Диалоги о налогах»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Проведены обучающие семинары по финансовой и юридической грамотности.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базе Союза «Торгово-промышленная палата города Набережные Челны Республики Татарстан» с участием финансового и правового комитетов палаты 13.02.2025 проведен семинар руководителей сл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ужб управления персоналом, руководителей предприятий и структурных подразделений «Профайлинг - считывание человека, определение его психологического портрета». 28.11.2025 </w:t>
      </w:r>
      <w:bookmarkStart w:id="2" w:name="text-0"/>
      <w:bookmarkEnd w:id="2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ТПП организовала площадку для юристов Закамья «IV юридический форум Закамья».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Управле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нием Роспотребнадзор 13.03.2025 и 11.06.2025 проведен «Единый день открытых дверей» для предпринимателей.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09.10.2025 состоялась встреча предпринимателей с прокурором Набережных Челнов Фанисом Шайхаттаровым.</w:t>
      </w:r>
    </w:p>
    <w:p w:rsidR="00187E8A" w:rsidRDefault="00187E8A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87E8A" w:rsidRDefault="00263BD1">
      <w:pPr>
        <w:spacing w:line="360" w:lineRule="auto"/>
        <w:ind w:firstLine="709"/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.2. «Производительность труда»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2025 году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продолжением национального проекта «Производительность труда» стал федеральный проект «Производительность труда», входящий в структуру нового национального проекта «Эффективная и конкурентная экономика».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городе участниками федерального проекта «Производительность труда» на сегодня стали 76 предприятий, что составляет 22,0% от всех участников проекта по Республике Татарстан.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начала 2025 года участниками нового проекта стали 10 челнинских предприятий: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 НПП «Хортум», ООО «КАМЭР», ООО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«Завод Ру-Драйв», ООО «ИнТехПласт»,  ООО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«Камский механический завод», ООО «ПКФ «Автокомпоненты-Трейд», ООО «Челныводоканал», ООО «КАМАЗ тормозные системы», ООО «Строй-Деталь» и ООО «Биполь».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Предприятия-участники федеральн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ого проекта повысят свою производительность и минимизируют потери без дополнительных затрат.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Активно ведется работа по привлечению предприятий города, потенциально соответствующих критериям проекта, по их информированию об условиях вступления и мерах госуд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арственной поддержки в рамках федерального проекта. 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25.06.2025 состоялась  встреча организаций  города с заместителем начальника управления администрирования проектов - начальником отдела по работе с предприятиями   регионального центра компетенций в сфе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ре производительности труда Республики Татарстан Бурдиковым В.П.  по вопросу участия в федеральном проекте «Производительность труда».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Информация о проекте размещена на официальном сайте города Набережные Челны в информационно-телекоммуникационной сети «И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нтернет», на официальной странице отдела поддержки и развития предпринимательства в социальной сети Вконтакте, а также в чатах бизнес-сообществ.</w:t>
      </w:r>
    </w:p>
    <w:p w:rsidR="00187E8A" w:rsidRDefault="00187E8A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187E8A" w:rsidRDefault="00263BD1">
      <w:pPr>
        <w:tabs>
          <w:tab w:val="left" w:pos="1134"/>
        </w:tabs>
        <w:spacing w:line="276" w:lineRule="auto"/>
        <w:ind w:firstLine="709"/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7. «Международная кооперация и экспорт»</w:t>
      </w:r>
    </w:p>
    <w:p w:rsidR="00187E8A" w:rsidRDefault="00263BD1">
      <w:pPr>
        <w:tabs>
          <w:tab w:val="left" w:pos="1134"/>
        </w:tabs>
        <w:spacing w:line="276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целью выявления экспортного потенциала регулярно проводится информир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ование предпринимателей о возможности получения услуг ЦПЭ через официальные группы социальных сетей отдела по поддержке и развитию предпринимательства, а также через рассылку информации на электронные почты.</w:t>
      </w:r>
    </w:p>
    <w:p w:rsidR="00187E8A" w:rsidRDefault="00263BD1">
      <w:pPr>
        <w:tabs>
          <w:tab w:val="left" w:pos="1134"/>
        </w:tabs>
        <w:spacing w:line="276" w:lineRule="auto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Предприниматели города приняли участие на онлайн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вебинарах Центра поддержки экспорта для субъектов малого и среднего предпринимательства Республики Татарстан и от РЭЦ: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- 23.01.2025 - онлайн-вебинар: «Ведение внешнеэкономической деятельности в 2025 году»; 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- 12.02.2025 - вебинар «Финансовые услуги АО «Ро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ссийский экспортный центр»;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- 18.03.2025 - семинар на тему «Использование биржевых механизмов предприятиями Республики Татарстан и Республики Беларусь для взаимной торговли», спикеры OAO «Белорусская универсальная товарная биржа»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- 22 - 23.07.2025 - семина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 для представителей экспортно ориентированных организаций «Документационного сопровождения экспорта», «Правовые аспекты экспорта»;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- 13.11 и 04.12.2025 – вебинар для экспортно ориентированных предприятий </w:t>
      </w:r>
      <w:bookmarkStart w:id="3" w:name="text-7"/>
      <w:bookmarkEnd w:id="3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«Выход на зарубежные рынки предприятий г. Набережны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 Челны с использованием мер государственной поддержки»;</w:t>
      </w:r>
    </w:p>
    <w:p w:rsidR="00187E8A" w:rsidRDefault="00263BD1">
      <w:pPr>
        <w:tabs>
          <w:tab w:val="left" w:pos="1134"/>
        </w:tabs>
        <w:spacing w:line="276" w:lineRule="auto"/>
        <w:jc w:val="both"/>
      </w:pPr>
      <w:bookmarkStart w:id="4" w:name="text-0_Копия_1"/>
      <w:bookmarkEnd w:id="4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- 04.12.2025 – вебинар на тему: «Таможенные режимы и нюансы их применения при внешнеторговых операциях».</w:t>
      </w:r>
    </w:p>
    <w:p w:rsidR="00187E8A" w:rsidRDefault="00187E8A">
      <w:pPr>
        <w:tabs>
          <w:tab w:val="left" w:pos="1134"/>
        </w:tabs>
        <w:spacing w:line="276" w:lineRule="auto"/>
        <w:jc w:val="both"/>
      </w:pPr>
    </w:p>
    <w:p w:rsidR="00187E8A" w:rsidRDefault="00187E8A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87E8A" w:rsidRDefault="00263BD1">
      <w:pPr>
        <w:tabs>
          <w:tab w:val="left" w:pos="1134"/>
        </w:tabs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</w:rPr>
        <w:t>8. «Экологическое благополучие»</w:t>
      </w:r>
    </w:p>
    <w:p w:rsidR="00187E8A" w:rsidRDefault="00263BD1">
      <w:pPr>
        <w:spacing w:after="120" w:line="360" w:lineRule="auto"/>
        <w:ind w:firstLine="709"/>
        <w:rPr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  <w:highlight w:val="white"/>
        </w:rPr>
        <w:t>8.1. «Вода России»</w:t>
      </w:r>
    </w:p>
    <w:p w:rsidR="00187E8A" w:rsidRDefault="00263BD1">
      <w:pPr>
        <w:pStyle w:val="af3"/>
        <w:spacing w:line="276" w:lineRule="auto"/>
        <w:ind w:firstLine="709"/>
      </w:pPr>
      <w:r>
        <w:rPr>
          <w:color w:val="000000"/>
          <w:szCs w:val="28"/>
        </w:rPr>
        <w:t xml:space="preserve">В рамках реализации федерального проекта «Вода России», национального проекта «Экологическое благополучие»  20 июня  2025 года заключён контракт с компанией ООО «Ядран-Строй». </w:t>
      </w:r>
    </w:p>
    <w:p w:rsidR="00187E8A" w:rsidRDefault="00263BD1">
      <w:pPr>
        <w:pStyle w:val="af3"/>
        <w:spacing w:line="276" w:lineRule="auto"/>
        <w:ind w:firstLine="737"/>
      </w:pPr>
      <w:r>
        <w:rPr>
          <w:color w:val="000000"/>
          <w:szCs w:val="28"/>
        </w:rPr>
        <w:t xml:space="preserve">Работы по расчистке реки Мелекеска протяжённостью 3127,11 м  начались          </w:t>
      </w:r>
      <w:r>
        <w:rPr>
          <w:color w:val="000000"/>
          <w:szCs w:val="28"/>
        </w:rPr>
        <w:t xml:space="preserve">  30 июня 2025 года,  включает в себя разработку донных отложений, чистку и формирование береговых линий, уполаживание на берегах путем отсыпки местным грунтом, восстановление нарушенного растительного слоя в зонах проведения работ. </w:t>
      </w:r>
    </w:p>
    <w:p w:rsidR="00187E8A" w:rsidRDefault="00263BD1">
      <w:pPr>
        <w:pStyle w:val="af3"/>
        <w:spacing w:line="276" w:lineRule="auto"/>
        <w:ind w:firstLine="737"/>
      </w:pPr>
      <w:r>
        <w:rPr>
          <w:color w:val="000000"/>
          <w:szCs w:val="28"/>
        </w:rPr>
        <w:t>Общая сметная стоимост</w:t>
      </w:r>
      <w:r>
        <w:rPr>
          <w:color w:val="000000"/>
          <w:szCs w:val="28"/>
        </w:rPr>
        <w:t xml:space="preserve">ь мероприятий  с 2025-2027 годы по оздоровлению реки Мелекеска составляет </w:t>
      </w:r>
      <w:r>
        <w:rPr>
          <w:rStyle w:val="ac"/>
          <w:b w:val="0"/>
          <w:bCs w:val="0"/>
          <w:color w:val="000000"/>
          <w:szCs w:val="28"/>
        </w:rPr>
        <w:t>318 млн рублей</w:t>
      </w:r>
      <w:r>
        <w:rPr>
          <w:color w:val="000000"/>
          <w:szCs w:val="28"/>
        </w:rPr>
        <w:t>.</w:t>
      </w:r>
    </w:p>
    <w:p w:rsidR="00187E8A" w:rsidRDefault="00263BD1">
      <w:pPr>
        <w:pStyle w:val="af3"/>
        <w:spacing w:line="276" w:lineRule="auto"/>
        <w:ind w:firstLine="737"/>
      </w:pPr>
      <w:r>
        <w:rPr>
          <w:color w:val="000000"/>
          <w:szCs w:val="28"/>
        </w:rPr>
        <w:t>Расчистка реки Мелекеска позволит стабилизировать: водохозяйственную обстановку, улучшить санитарно-экологическое состояние территории, увеличить пропускную способнос</w:t>
      </w:r>
      <w:r>
        <w:rPr>
          <w:color w:val="000000"/>
          <w:szCs w:val="28"/>
        </w:rPr>
        <w:t xml:space="preserve">ть реки, повысить ее водоотводящую роль,  снизить вероятность затопления прилегающих территорий города. </w:t>
      </w:r>
    </w:p>
    <w:p w:rsidR="00187E8A" w:rsidRDefault="00263BD1">
      <w:pPr>
        <w:pStyle w:val="af3"/>
        <w:spacing w:line="276" w:lineRule="auto"/>
        <w:ind w:firstLine="737"/>
      </w:pPr>
      <w:r>
        <w:rPr>
          <w:rStyle w:val="ac"/>
          <w:b w:val="0"/>
          <w:bCs w:val="0"/>
          <w:color w:val="000000"/>
          <w:szCs w:val="28"/>
        </w:rPr>
        <w:t xml:space="preserve"> </w:t>
      </w:r>
      <w:r>
        <w:rPr>
          <w:szCs w:val="28"/>
        </w:rPr>
        <w:t>На текущий момент выполнено 40% запланированных работ. Проведена полная расчистка 1250 метров русла реки от иловых отложений, завершено формирование б</w:t>
      </w:r>
      <w:r>
        <w:rPr>
          <w:szCs w:val="28"/>
        </w:rPr>
        <w:t xml:space="preserve">ереговой линии на участке протяженностью 980 метров.   Работы ведутся в соответствии с графиком, с соблюдением всех необходимых экологических требований. </w:t>
      </w:r>
    </w:p>
    <w:p w:rsidR="00187E8A" w:rsidRDefault="00263BD1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sz w:val="28"/>
          <w:szCs w:val="28"/>
        </w:rPr>
        <w:t xml:space="preserve"> </w:t>
      </w:r>
    </w:p>
    <w:p w:rsidR="00187E8A" w:rsidRDefault="00187E8A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p w:rsidR="00187E8A" w:rsidRDefault="00187E8A">
      <w:pPr>
        <w:tabs>
          <w:tab w:val="left" w:pos="1134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sectPr w:rsidR="00187E8A">
      <w:footerReference w:type="even" r:id="rId7"/>
      <w:footerReference w:type="default" r:id="rId8"/>
      <w:footerReference w:type="first" r:id="rId9"/>
      <w:pgSz w:w="11906" w:h="16838"/>
      <w:pgMar w:top="851" w:right="851" w:bottom="1276" w:left="1134" w:header="0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263BD1">
      <w:r>
        <w:separator/>
      </w:r>
    </w:p>
  </w:endnote>
  <w:endnote w:type="continuationSeparator" w:id="0">
    <w:p w:rsidR="00000000" w:rsidRDefault="00263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OpenSymbol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E8A" w:rsidRDefault="00263BD1">
    <w:pPr>
      <w:pStyle w:val="aff3"/>
      <w:jc w:val="center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  <w:p w:rsidR="00187E8A" w:rsidRDefault="00263BD1">
    <w:pPr>
      <w:pStyle w:val="aff3"/>
      <w:jc w:val="center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  <w:p w:rsidR="00187E8A" w:rsidRDefault="00187E8A">
    <w:pPr>
      <w:pStyle w:val="af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E8A" w:rsidRDefault="00263BD1">
    <w:pPr>
      <w:pStyle w:val="aff3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9</w:t>
    </w:r>
    <w:r>
      <w:fldChar w:fldCharType="end"/>
    </w:r>
  </w:p>
  <w:p w:rsidR="00187E8A" w:rsidRDefault="00187E8A">
    <w:pPr>
      <w:pStyle w:val="aff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E8A" w:rsidRDefault="00263BD1">
    <w:pPr>
      <w:pStyle w:val="aff3"/>
      <w:jc w:val="center"/>
    </w:pPr>
    <w:r>
      <w:fldChar w:fldCharType="begin"/>
    </w:r>
    <w:r>
      <w:instrText xml:space="preserve"> PAGE </w:instrText>
    </w:r>
    <w:r>
      <w:fldChar w:fldCharType="separate"/>
    </w:r>
    <w:r>
      <w:t>14</w:t>
    </w:r>
    <w:r>
      <w:fldChar w:fldCharType="end"/>
    </w:r>
  </w:p>
  <w:p w:rsidR="00187E8A" w:rsidRDefault="00187E8A">
    <w:pPr>
      <w:pStyle w:val="af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263BD1">
      <w:r>
        <w:separator/>
      </w:r>
    </w:p>
  </w:footnote>
  <w:footnote w:type="continuationSeparator" w:id="0">
    <w:p w:rsidR="00000000" w:rsidRDefault="00263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E8A"/>
    <w:rsid w:val="00187E8A"/>
    <w:rsid w:val="0026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476D8"/>
  <w15:docId w15:val="{5BDD2FC6-AA1F-499A-A0B2-5E0D596C1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 w:val="0"/>
    </w:pPr>
  </w:style>
  <w:style w:type="paragraph" w:styleId="1">
    <w:name w:val="heading 1"/>
    <w:basedOn w:val="a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qFormat/>
    <w:pPr>
      <w:keepNext/>
      <w:jc w:val="center"/>
      <w:outlineLvl w:val="2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link w:val="caption1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3">
    <w:name w:val="Символ сноски"/>
    <w:uiPriority w:val="99"/>
    <w:unhideWhenUsed/>
    <w:qFormat/>
    <w:rPr>
      <w:vertAlign w:val="superscript"/>
    </w:rPr>
  </w:style>
  <w:style w:type="character" w:styleId="a4">
    <w:name w:val="footnote reference"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5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a6">
    <w:name w:val="endnote reference"/>
    <w:rPr>
      <w:vertAlign w:val="superscript"/>
    </w:rPr>
  </w:style>
  <w:style w:type="character" w:customStyle="1" w:styleId="a7">
    <w:name w:val="Основной текст Знак"/>
    <w:basedOn w:val="a0"/>
    <w:qFormat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Текст выноски Знак"/>
    <w:basedOn w:val="a0"/>
    <w:uiPriority w:val="99"/>
    <w:semiHidden/>
    <w:qFormat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normaltextrun">
    <w:name w:val="normaltextrun"/>
    <w:basedOn w:val="a0"/>
    <w:qFormat/>
  </w:style>
  <w:style w:type="character" w:customStyle="1" w:styleId="c16">
    <w:name w:val="c16"/>
    <w:basedOn w:val="a0"/>
    <w:qFormat/>
  </w:style>
  <w:style w:type="character" w:customStyle="1" w:styleId="c28">
    <w:name w:val="c28"/>
    <w:basedOn w:val="a0"/>
    <w:qFormat/>
  </w:style>
  <w:style w:type="character" w:customStyle="1" w:styleId="c15">
    <w:name w:val="c15"/>
    <w:basedOn w:val="a0"/>
    <w:qFormat/>
  </w:style>
  <w:style w:type="character" w:customStyle="1" w:styleId="c21">
    <w:name w:val="c21"/>
    <w:basedOn w:val="a0"/>
    <w:qFormat/>
  </w:style>
  <w:style w:type="character" w:customStyle="1" w:styleId="aa">
    <w:name w:val="Верхний колонтитул Знак"/>
    <w:basedOn w:val="a0"/>
    <w:uiPriority w:val="99"/>
    <w:qFormat/>
  </w:style>
  <w:style w:type="character" w:customStyle="1" w:styleId="ab">
    <w:name w:val="Нижний колонтитул Знак"/>
    <w:basedOn w:val="a0"/>
    <w:uiPriority w:val="99"/>
    <w:qFormat/>
  </w:style>
  <w:style w:type="character" w:styleId="ac">
    <w:name w:val="Strong"/>
    <w:basedOn w:val="a0"/>
    <w:uiPriority w:val="22"/>
    <w:qFormat/>
    <w:rPr>
      <w:b/>
      <w:bCs/>
    </w:rPr>
  </w:style>
  <w:style w:type="character" w:customStyle="1" w:styleId="30">
    <w:name w:val="Заголовок 3 Знак"/>
    <w:basedOn w:val="a0"/>
    <w:qFormat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uiPriority w:val="9"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d">
    <w:name w:val="Абзац списка Знак"/>
    <w:uiPriority w:val="34"/>
    <w:qFormat/>
  </w:style>
  <w:style w:type="character" w:customStyle="1" w:styleId="20">
    <w:name w:val="Основной текст (2)_"/>
    <w:basedOn w:val="a0"/>
    <w:qFormat/>
    <w:rPr>
      <w:shd w:val="clear" w:color="auto" w:fill="FFFFFF"/>
    </w:rPr>
  </w:style>
  <w:style w:type="character" w:customStyle="1" w:styleId="ae">
    <w:name w:val="Обычный (веб) Знак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CharLFO6LVL9">
    <w:name w:val="WW_CharLFO6LVL9"/>
    <w:qFormat/>
    <w:rPr>
      <w:rFonts w:ascii="PT Astra Serif" w:eastAsia="OpenSymbol" w:hAnsi="PT Astra Serif" w:cs="OpenSymbol"/>
    </w:rPr>
  </w:style>
  <w:style w:type="character" w:customStyle="1" w:styleId="WWCharLFO6LVL8">
    <w:name w:val="WW_CharLFO6LVL8"/>
    <w:qFormat/>
    <w:rPr>
      <w:rFonts w:ascii="PT Astra Serif" w:eastAsia="OpenSymbol" w:hAnsi="PT Astra Serif" w:cs="OpenSymbol"/>
    </w:rPr>
  </w:style>
  <w:style w:type="character" w:customStyle="1" w:styleId="WWCharLFO6LVL7">
    <w:name w:val="WW_CharLFO6LVL7"/>
    <w:qFormat/>
    <w:rPr>
      <w:rFonts w:ascii="PT Astra Serif" w:eastAsia="OpenSymbol" w:hAnsi="PT Astra Serif" w:cs="OpenSymbol"/>
    </w:rPr>
  </w:style>
  <w:style w:type="character" w:customStyle="1" w:styleId="WWCharLFO6LVL6">
    <w:name w:val="WW_CharLFO6LVL6"/>
    <w:qFormat/>
    <w:rPr>
      <w:rFonts w:ascii="PT Astra Serif" w:eastAsia="OpenSymbol" w:hAnsi="PT Astra Serif" w:cs="OpenSymbol"/>
    </w:rPr>
  </w:style>
  <w:style w:type="character" w:customStyle="1" w:styleId="WWCharLFO6LVL5">
    <w:name w:val="WW_CharLFO6LVL5"/>
    <w:qFormat/>
    <w:rPr>
      <w:rFonts w:ascii="PT Astra Serif" w:eastAsia="OpenSymbol" w:hAnsi="PT Astra Serif" w:cs="OpenSymbol"/>
    </w:rPr>
  </w:style>
  <w:style w:type="character" w:customStyle="1" w:styleId="WWCharLFO6LVL4">
    <w:name w:val="WW_CharLFO6LVL4"/>
    <w:qFormat/>
    <w:rPr>
      <w:rFonts w:ascii="PT Astra Serif" w:eastAsia="OpenSymbol" w:hAnsi="PT Astra Serif" w:cs="OpenSymbol"/>
    </w:rPr>
  </w:style>
  <w:style w:type="character" w:customStyle="1" w:styleId="WWCharLFO6LVL3">
    <w:name w:val="WW_CharLFO6LVL3"/>
    <w:qFormat/>
    <w:rPr>
      <w:rFonts w:ascii="PT Astra Serif" w:eastAsia="OpenSymbol" w:hAnsi="PT Astra Serif" w:cs="OpenSymbol"/>
    </w:rPr>
  </w:style>
  <w:style w:type="character" w:customStyle="1" w:styleId="WWCharLFO6LVL2">
    <w:name w:val="WW_CharLFO6LVL2"/>
    <w:qFormat/>
    <w:rPr>
      <w:rFonts w:ascii="PT Astra Serif" w:eastAsia="OpenSymbol" w:hAnsi="PT Astra Serif" w:cs="OpenSymbol"/>
    </w:rPr>
  </w:style>
  <w:style w:type="character" w:customStyle="1" w:styleId="WWCharLFO6LVL1">
    <w:name w:val="WW_CharLFO6LVL1"/>
    <w:qFormat/>
    <w:rPr>
      <w:rFonts w:ascii="PT Astra Serif" w:eastAsia="OpenSymbol" w:hAnsi="PT Astra Serif" w:cs="OpenSymbol"/>
    </w:rPr>
  </w:style>
  <w:style w:type="character" w:styleId="af">
    <w:name w:val="Emphasis"/>
    <w:qFormat/>
    <w:rPr>
      <w:i/>
      <w:iCs/>
    </w:rPr>
  </w:style>
  <w:style w:type="character" w:customStyle="1" w:styleId="21">
    <w:name w:val="Заголовок 2 Знак"/>
    <w:basedOn w:val="a0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FontStyle14">
    <w:name w:val="Font Style14"/>
    <w:qFormat/>
    <w:rPr>
      <w:rFonts w:ascii="Times New Roman" w:hAnsi="Times New Roman" w:cs="Times New Roman"/>
      <w:sz w:val="20"/>
      <w:szCs w:val="20"/>
    </w:rPr>
  </w:style>
  <w:style w:type="character" w:customStyle="1" w:styleId="af0">
    <w:name w:val="Без интервала Знак"/>
    <w:uiPriority w:val="1"/>
    <w:qFormat/>
  </w:style>
  <w:style w:type="character" w:customStyle="1" w:styleId="af1">
    <w:name w:val="Основной текст с отступом Знак"/>
    <w:basedOn w:val="a0"/>
    <w:uiPriority w:val="99"/>
    <w:qFormat/>
    <w:rPr>
      <w:rFonts w:ascii="Calibri" w:eastAsia="Times New Roman" w:hAnsi="Calibri" w:cs="Times New Roman"/>
      <w:lang w:eastAsia="ru-RU"/>
    </w:rPr>
  </w:style>
  <w:style w:type="paragraph" w:styleId="af2">
    <w:name w:val="Title"/>
    <w:basedOn w:val="a"/>
    <w:next w:val="af3"/>
    <w:qFormat/>
    <w:pPr>
      <w:keepNext/>
      <w:spacing w:before="240" w:after="120"/>
    </w:pPr>
    <w:rPr>
      <w:rFonts w:eastAsia="Tahoma" w:cs="Noto Sans Devanagari"/>
      <w:sz w:val="28"/>
      <w:szCs w:val="28"/>
    </w:rPr>
  </w:style>
  <w:style w:type="paragraph" w:styleId="af3">
    <w:name w:val="Body Text"/>
    <w:basedOn w:val="a"/>
    <w:pPr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paragraph" w:styleId="af4">
    <w:name w:val="List"/>
    <w:basedOn w:val="af3"/>
    <w:rPr>
      <w:rFonts w:ascii="PT Astra Serif" w:hAnsi="PT Astra Serif" w:cs="Noto Sans Devanagari"/>
    </w:rPr>
  </w:style>
  <w:style w:type="paragraph" w:styleId="af5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6">
    <w:name w:val="index heading"/>
    <w:basedOn w:val="af2"/>
  </w:style>
  <w:style w:type="paragraph" w:customStyle="1" w:styleId="indexheading1">
    <w:name w:val="index heading1"/>
    <w:basedOn w:val="af2"/>
    <w:qFormat/>
  </w:style>
  <w:style w:type="paragraph" w:customStyle="1" w:styleId="caption1">
    <w:name w:val="caption1"/>
    <w:basedOn w:val="a"/>
    <w:link w:val="CaptionChar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7">
    <w:name w:val="Subtitle"/>
    <w:basedOn w:val="a"/>
    <w:uiPriority w:val="11"/>
    <w:qFormat/>
    <w:pPr>
      <w:spacing w:before="200" w:after="200"/>
    </w:pPr>
    <w:rPr>
      <w:sz w:val="24"/>
      <w:szCs w:val="24"/>
    </w:rPr>
  </w:style>
  <w:style w:type="paragraph" w:styleId="22">
    <w:name w:val="Quote"/>
    <w:basedOn w:val="a"/>
    <w:uiPriority w:val="29"/>
    <w:qFormat/>
    <w:pPr>
      <w:ind w:left="720" w:right="720"/>
    </w:pPr>
    <w:rPr>
      <w:i/>
    </w:rPr>
  </w:style>
  <w:style w:type="paragraph" w:styleId="af8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styleId="af9">
    <w:name w:val="footnote text"/>
    <w:basedOn w:val="a"/>
    <w:uiPriority w:val="99"/>
    <w:semiHidden/>
    <w:unhideWhenUsed/>
    <w:pPr>
      <w:spacing w:after="40"/>
    </w:pPr>
    <w:rPr>
      <w:sz w:val="18"/>
    </w:rPr>
  </w:style>
  <w:style w:type="paragraph" w:styleId="afa">
    <w:name w:val="endnote text"/>
    <w:basedOn w:val="a"/>
    <w:uiPriority w:val="99"/>
    <w:semiHidden/>
    <w:unhideWhenUsed/>
    <w:rPr>
      <w:sz w:val="20"/>
    </w:rPr>
  </w:style>
  <w:style w:type="paragraph" w:styleId="11">
    <w:name w:val="toc 1"/>
    <w:basedOn w:val="a"/>
    <w:uiPriority w:val="39"/>
    <w:unhideWhenUsed/>
    <w:pPr>
      <w:spacing w:after="57"/>
    </w:pPr>
  </w:style>
  <w:style w:type="paragraph" w:styleId="23">
    <w:name w:val="toc 2"/>
    <w:basedOn w:val="a"/>
    <w:uiPriority w:val="39"/>
    <w:unhideWhenUsed/>
    <w:pPr>
      <w:spacing w:after="57"/>
      <w:ind w:left="283"/>
    </w:pPr>
  </w:style>
  <w:style w:type="paragraph" w:styleId="31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50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customStyle="1" w:styleId="indexheading11">
    <w:name w:val="index heading11"/>
    <w:basedOn w:val="a"/>
    <w:qFormat/>
    <w:pPr>
      <w:suppressLineNumbers/>
    </w:pPr>
    <w:rPr>
      <w:rFonts w:cs="Noto Sans Devanagari"/>
    </w:rPr>
  </w:style>
  <w:style w:type="paragraph" w:styleId="afb">
    <w:name w:val="TOC Heading"/>
    <w:uiPriority w:val="39"/>
    <w:unhideWhenUsed/>
    <w:qFormat/>
  </w:style>
  <w:style w:type="paragraph" w:styleId="afc">
    <w:name w:val="table of figures"/>
    <w:basedOn w:val="a"/>
    <w:uiPriority w:val="99"/>
    <w:unhideWhenUsed/>
    <w:qFormat/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">
    <w:name w:val="caption11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caption1111">
    <w:name w:val="caption1111"/>
    <w:basedOn w:val="a"/>
    <w:qFormat/>
    <w:rPr>
      <w:rFonts w:cs="Lohit Devanagari"/>
    </w:rPr>
  </w:style>
  <w:style w:type="paragraph" w:customStyle="1" w:styleId="12">
    <w:name w:val="Заголовок1"/>
    <w:basedOn w:val="a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d">
    <w:name w:val="Normal (Web)"/>
    <w:basedOn w:val="a"/>
    <w:uiPriority w:val="99"/>
    <w:unhideWhenUsed/>
    <w:qFormat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styleId="afe">
    <w:name w:val="List Paragraph"/>
    <w:basedOn w:val="a"/>
    <w:uiPriority w:val="34"/>
    <w:qFormat/>
    <w:pPr>
      <w:spacing w:after="160"/>
      <w:ind w:left="720"/>
    </w:p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">
    <w:name w:val="No Spacing"/>
    <w:uiPriority w:val="1"/>
    <w:qFormat/>
  </w:style>
  <w:style w:type="paragraph" w:styleId="aff0">
    <w:name w:val="Balloon Text"/>
    <w:basedOn w:val="a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qFormat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2">
    <w:name w:val="c2"/>
    <w:basedOn w:val="a"/>
    <w:qFormat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c11">
    <w:name w:val="c11"/>
    <w:basedOn w:val="a"/>
    <w:qFormat/>
    <w:pPr>
      <w:spacing w:beforeAutospacing="1" w:afterAutospacing="1"/>
    </w:pPr>
    <w:rPr>
      <w:rFonts w:ascii="Times New Roman" w:eastAsia="Times New Roman" w:hAnsi="Times New Roman" w:cs="Times New Roman"/>
      <w:lang w:eastAsia="ru-RU"/>
    </w:rPr>
  </w:style>
  <w:style w:type="paragraph" w:customStyle="1" w:styleId="aff1">
    <w:name w:val="Колонтитул"/>
    <w:basedOn w:val="a"/>
    <w:qFormat/>
  </w:style>
  <w:style w:type="paragraph" w:styleId="aff2">
    <w:name w:val="header"/>
    <w:basedOn w:val="a"/>
    <w:uiPriority w:val="99"/>
    <w:unhideWhenUsed/>
    <w:pPr>
      <w:tabs>
        <w:tab w:val="center" w:pos="4677"/>
        <w:tab w:val="right" w:pos="9355"/>
      </w:tabs>
    </w:pPr>
  </w:style>
  <w:style w:type="paragraph" w:styleId="aff3">
    <w:name w:val="footer"/>
    <w:basedOn w:val="a"/>
    <w:uiPriority w:val="99"/>
    <w:unhideWhenUsed/>
    <w:pPr>
      <w:tabs>
        <w:tab w:val="center" w:pos="4677"/>
        <w:tab w:val="right" w:pos="9355"/>
      </w:tabs>
    </w:pPr>
  </w:style>
  <w:style w:type="paragraph" w:customStyle="1" w:styleId="alignjustify1">
    <w:name w:val="alignjustify1"/>
    <w:basedOn w:val="a"/>
    <w:uiPriority w:val="99"/>
    <w:semiHidden/>
    <w:qFormat/>
    <w:pPr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ConsPlusNonformat">
    <w:name w:val="ConsPlusNonformat"/>
    <w:uiPriority w:val="99"/>
    <w:qFormat/>
    <w:pPr>
      <w:widowControl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ff4">
    <w:name w:val="Основной стиль абзаца"/>
    <w:basedOn w:val="a"/>
    <w:qFormat/>
    <w:pPr>
      <w:spacing w:before="120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(2)1"/>
    <w:basedOn w:val="a"/>
    <w:qFormat/>
    <w:pPr>
      <w:widowControl w:val="0"/>
      <w:shd w:val="clear" w:color="auto" w:fill="FFFFFF"/>
      <w:spacing w:line="274" w:lineRule="exact"/>
      <w:jc w:val="both"/>
    </w:pPr>
  </w:style>
  <w:style w:type="paragraph" w:customStyle="1" w:styleId="aff5">
    <w:name w:val="Гриф_Экземпляр"/>
    <w:basedOn w:val="a"/>
    <w:qFormat/>
  </w:style>
  <w:style w:type="paragraph" w:customStyle="1" w:styleId="IllustrationIndex1">
    <w:name w:val="Illustration Index 1"/>
    <w:qFormat/>
    <w:pPr>
      <w:tabs>
        <w:tab w:val="right" w:leader="dot" w:pos="9638"/>
      </w:tabs>
      <w:spacing w:after="170"/>
    </w:pPr>
    <w:rPr>
      <w:rFonts w:cs="Noto Sans Devanagari"/>
      <w:b/>
    </w:rPr>
  </w:style>
  <w:style w:type="paragraph" w:styleId="aff6">
    <w:name w:val="Salutation"/>
    <w:basedOn w:val="a"/>
    <w:qFormat/>
  </w:style>
  <w:style w:type="paragraph" w:customStyle="1" w:styleId="aff7">
    <w:name w:val="Содержимое таблицы"/>
    <w:basedOn w:val="a"/>
    <w:qFormat/>
    <w:pPr>
      <w:widowControl w:val="0"/>
      <w:suppressLineNumbers/>
    </w:pPr>
  </w:style>
  <w:style w:type="paragraph" w:customStyle="1" w:styleId="aff8">
    <w:name w:val="Заголовок таблицы"/>
    <w:basedOn w:val="aff7"/>
    <w:qFormat/>
    <w:pPr>
      <w:jc w:val="center"/>
    </w:pPr>
    <w:rPr>
      <w:b/>
      <w:bCs/>
    </w:rPr>
  </w:style>
  <w:style w:type="paragraph" w:styleId="aff9">
    <w:name w:val="Body Text Indent"/>
    <w:basedOn w:val="a"/>
    <w:uiPriority w:val="99"/>
    <w:unhideWhenUsed/>
    <w:pPr>
      <w:spacing w:after="120" w:line="276" w:lineRule="auto"/>
      <w:ind w:left="283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qFormat/>
    <w:pPr>
      <w:widowControl w:val="0"/>
    </w:pPr>
    <w:rPr>
      <w:rFonts w:ascii="Arial" w:eastAsia="Times New Roman" w:hAnsi="Arial"/>
      <w:sz w:val="20"/>
      <w:lang w:eastAsia="ru-RU"/>
    </w:rPr>
  </w:style>
  <w:style w:type="numbering" w:customStyle="1" w:styleId="affa">
    <w:name w:val="Без списка"/>
    <w:uiPriority w:val="99"/>
    <w:semiHidden/>
    <w:unhideWhenUsed/>
    <w:qFormat/>
  </w:style>
  <w:style w:type="table" w:styleId="affb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tblPr/>
      <w:tcPr>
        <w:shd w:val="clear" w:color="FFFFFF" w:fill="FFFFFF" w:themeFill="text1" w:themeFillTint="00"/>
      </w:tcPr>
    </w:tblStylePr>
  </w:style>
  <w:style w:type="table" w:styleId="24">
    <w:name w:val="Plain Table 2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2">
    <w:name w:val="Plain Table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</w:rPr>
    </w:tblStylePr>
    <w:tblStylePr w:type="firstCol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</w:r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41">
    <w:name w:val="Plain Table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51">
    <w:name w:val="Plain Table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-1">
    <w:name w:val="Grid Table 1 Light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F81BD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0504D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BBB59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8064A2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  <w:shd w:val="clear" w:color="FFFFFF" w:fill="5D8AC2" w:themeFill="accent1" w:themeFillTint="EA"/>
      </w:tcPr>
    </w:tblStylePr>
    <w:tblStylePr w:type="lastRow">
      <w:rPr>
        <w:b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  <w:shd w:val="clear" w:color="FFFFFF" w:fill="D99695" w:themeFill="accent2" w:themeFillTint="97"/>
      </w:tcPr>
    </w:tblStylePr>
    <w:tblStylePr w:type="lastRow">
      <w:rPr>
        <w:b/>
      </w:rPr>
      <w:tblPr/>
      <w:tcPr>
        <w:tcBorders>
          <w:top w:val="sing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  <w:shd w:val="clear" w:color="FFFFFF" w:fill="9ABB59" w:themeFill="accent3" w:themeFillTint="FE"/>
      </w:tcPr>
    </w:tblStylePr>
    <w:tblStylePr w:type="lastRow">
      <w:rPr>
        <w:b/>
      </w:rPr>
      <w:tblPr/>
      <w:tcPr>
        <w:tcBorders>
          <w:top w:val="sing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  <w:shd w:val="clear" w:color="FFFFFF" w:fill="B2A1C6" w:themeFill="accent4" w:themeFillTint="9A"/>
      </w:tcPr>
    </w:tblStylePr>
    <w:tblStylePr w:type="lastRow">
      <w:rPr>
        <w:b/>
      </w:rPr>
      <w:tblPr/>
      <w:tcPr>
        <w:tcBorders>
          <w:top w:val="sing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  <w:tblPr/>
      <w:tcPr>
        <w:shd w:val="clear" w:color="FFFFFF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b/>
        <w:sz w:val="22"/>
      </w:rPr>
      <w:tblPr/>
      <w:tcPr>
        <w:shd w:val="clear" w:color="FFFFFF" w:fill="4F81BD" w:themeFill="accent1"/>
      </w:tcPr>
    </w:tblStylePr>
    <w:tblStylePr w:type="lastCol">
      <w:rPr>
        <w:b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b/>
        <w:sz w:val="22"/>
      </w:rPr>
      <w:tblPr/>
      <w:tcPr>
        <w:shd w:val="clear" w:color="FFFFFF" w:fill="C0504D" w:themeFill="accent2"/>
      </w:tcPr>
    </w:tblStylePr>
    <w:tblStylePr w:type="lastCol">
      <w:rPr>
        <w:b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b/>
        <w:sz w:val="22"/>
      </w:rPr>
      <w:tblPr/>
      <w:tcPr>
        <w:shd w:val="clear" w:color="FFFFFF" w:fill="9BBB59" w:themeFill="accent3"/>
      </w:tcPr>
    </w:tblStylePr>
    <w:tblStylePr w:type="lastCol">
      <w:rPr>
        <w:b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b/>
        <w:sz w:val="22"/>
      </w:rPr>
      <w:tblPr/>
      <w:tcPr>
        <w:shd w:val="clear" w:color="FFFFFF" w:fill="8064A2" w:themeFill="accent4"/>
      </w:tcPr>
    </w:tblStylePr>
    <w:tblStylePr w:type="lastCol">
      <w:rPr>
        <w:b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b/>
        <w:sz w:val="22"/>
      </w:rPr>
      <w:tblPr/>
      <w:tcPr>
        <w:shd w:val="clear" w:color="FFFFFF" w:fill="4BACC6" w:themeFill="accent5"/>
      </w:tcPr>
    </w:tblStylePr>
    <w:tblStylePr w:type="lastCol">
      <w:rPr>
        <w:b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b/>
        <w:sz w:val="22"/>
      </w:rPr>
      <w:tblPr/>
      <w:tcPr>
        <w:shd w:val="clear" w:color="FFFFFF" w:fill="F79646" w:themeFill="accent6"/>
      </w:tcPr>
    </w:tblStylePr>
    <w:tblStylePr w:type="lastCol">
      <w:rPr>
        <w:b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6BFDD" w:themeColor="accent1" w:themeTint="80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D99695" w:themeColor="accent2" w:themeTint="97" w:themeShade="95"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0504D" w:themeColor="accent2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C0504D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9ABB59" w:themeColor="accent3" w:themeTint="FE" w:themeShade="95"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BB59" w:themeColor="accent3"/>
        </w:tcBorders>
        <w:shd w:val="clear" w:color="FFFFFF" w:fill="auto"/>
      </w:tcPr>
    </w:tblStylePr>
    <w:tblStylePr w:type="lastCol">
      <w:rPr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BBB59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B2A1C6" w:themeColor="accent4" w:themeTint="9A" w:themeShade="95"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064A2" w:themeColor="accent4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8064A2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66779" w:themeColor="accent5" w:themeShade="95"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BACC6" w:themeColor="accent5"/>
        </w:tcBorders>
        <w:shd w:val="clear" w:color="FFFFFF" w:fill="auto"/>
      </w:tcPr>
    </w:tblStylePr>
    <w:tblStylePr w:type="lastCol">
      <w:rPr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4BACC6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B15407" w:themeColor="accent6" w:themeShade="95"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79646" w:themeColor="accent6"/>
        </w:tcBorders>
        <w:shd w:val="clear" w:color="FFFFFF" w:fill="auto"/>
      </w:tcPr>
    </w:tblStylePr>
    <w:tblStylePr w:type="lastCol">
      <w:rPr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79646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bottom w:val="single" w:sz="4" w:space="0" w:color="C0504D" w:themeColor="accent2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bottom w:val="single" w:sz="4" w:space="0" w:color="9BBB59" w:themeColor="accent3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bottom w:val="single" w:sz="4" w:space="0" w:color="8064A2" w:themeColor="accent4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bottom w:val="single" w:sz="4" w:space="0" w:color="4BACC6" w:themeColor="accent5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bottom w:val="single" w:sz="4" w:space="0" w:color="F79646" w:themeColor="accent6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F81BD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C0504D" w:themeFill="accent2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9BBB59" w:themeFill="accent3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8064A2" w:themeFill="accent4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BACC6" w:themeFill="accent5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79646" w:themeFill="accent6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sz w:val="22"/>
      </w:rPr>
      <w:tblPr/>
      <w:tcPr>
        <w:shd w:val="clear" w:color="FFFFFF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C0504D" w:themeColor="accent2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C0504D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0504D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9BBB59" w:themeColor="accent3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9BBB59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BB59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8064A2" w:themeColor="accent4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8064A2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064A2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BACC6" w:themeColor="accent5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BACC6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BACC6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79646" w:themeColor="accent6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79646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79646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C0504D" w:themeColor="accent2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9BBB59" w:themeColor="accent3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8064A2" w:themeColor="accent4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D99695" w:themeColor="accent2" w:themeTint="97" w:themeShade="95"/>
        <w:sz w:val="22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0504D" w:themeColor="accent2"/>
        </w:tcBorders>
        <w:shd w:val="clear" w:color="FFFFFF" w:fill="auto"/>
      </w:tcPr>
    </w:tblStylePr>
    <w:tblStylePr w:type="lastCol">
      <w:rPr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C0504D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3D69B" w:themeColor="accent3" w:themeTint="98" w:themeShade="95"/>
        <w:sz w:val="22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BB59" w:themeColor="accent3"/>
        </w:tcBorders>
        <w:shd w:val="clear" w:color="FFFFFF" w:fill="auto"/>
      </w:tcPr>
    </w:tblStylePr>
    <w:tblStylePr w:type="lastCol">
      <w:rPr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9BBB59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B2A1C6" w:themeColor="accent4" w:themeTint="9A" w:themeShade="95"/>
        <w:sz w:val="22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064A2" w:themeColor="accent4"/>
        </w:tcBorders>
        <w:shd w:val="clear" w:color="FFFFFF" w:fill="auto"/>
      </w:tcPr>
    </w:tblStylePr>
    <w:tblStylePr w:type="lastCol">
      <w:rPr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8064A2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92CCDC" w:themeColor="accent5" w:themeTint="9A" w:themeShade="95"/>
        <w:sz w:val="22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BACC6" w:themeColor="accent5"/>
        </w:tcBorders>
        <w:shd w:val="clear" w:color="FFFFFF" w:fill="auto"/>
      </w:tcPr>
    </w:tblStylePr>
    <w:tblStylePr w:type="lastCol">
      <w:rPr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BACC6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AC090" w:themeColor="accent6" w:themeTint="98" w:themeShade="95"/>
        <w:sz w:val="22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79646" w:themeColor="accent6"/>
        </w:tcBorders>
        <w:shd w:val="clear" w:color="FFFFFF" w:fill="auto"/>
      </w:tcPr>
    </w:tblStylePr>
    <w:tblStylePr w:type="lastCol">
      <w:rPr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79646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Lined-Accent1">
    <w:name w:val="Lined - Accent 1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BorderedLined-Accent1">
    <w:name w:val="Bordered &amp; Lined - Accent 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4F81BD" w:themeColor="accent1"/>
        <w:insideV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C0504D" w:themeColor="accent2"/>
        <w:insideV w:val="single" w:sz="4" w:space="0" w:color="C0504D" w:themeColor="accent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9BBB59" w:themeColor="accent3"/>
        <w:insideV w:val="single" w:sz="4" w:space="0" w:color="9BBB59" w:themeColor="accent3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8064A2" w:themeColor="accent4"/>
        <w:insideV w:val="single" w:sz="4" w:space="0" w:color="8064A2" w:themeColor="accent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4BACC6" w:themeFill="accent5"/>
      </w:tcPr>
    </w:tblStylePr>
    <w:tblStylePr w:type="lastRow">
      <w:rPr>
        <w:sz w:val="22"/>
      </w:rPr>
      <w:tblPr/>
      <w:tcPr>
        <w:shd w:val="clear" w:color="FFFFFF" w:fill="4BACC6" w:themeFill="accent5"/>
      </w:tcPr>
    </w:tblStylePr>
    <w:tblStylePr w:type="firstCol">
      <w:rPr>
        <w:sz w:val="22"/>
      </w:rPr>
      <w:tblPr/>
      <w:tcPr>
        <w:shd w:val="clear" w:color="FFFFFF" w:fill="4BACC6" w:themeFill="accent5"/>
      </w:tcPr>
    </w:tblStylePr>
    <w:tblStylePr w:type="lastCol">
      <w:rPr>
        <w:sz w:val="22"/>
      </w:rPr>
      <w:tblPr/>
      <w:tcPr>
        <w:shd w:val="clear" w:color="FFFFFF" w:fill="4BACC6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79646" w:themeFill="accent6"/>
      </w:tcPr>
    </w:tblStylePr>
    <w:tblStylePr w:type="lastRow">
      <w:rPr>
        <w:sz w:val="22"/>
      </w:rPr>
      <w:tblPr/>
      <w:tcPr>
        <w:shd w:val="clear" w:color="FFFFFF" w:fill="F79646" w:themeFill="accent6"/>
      </w:tcPr>
    </w:tblStylePr>
    <w:tblStylePr w:type="firstCol">
      <w:rPr>
        <w:sz w:val="22"/>
      </w:rPr>
      <w:tblPr/>
      <w:tcPr>
        <w:shd w:val="clear" w:color="FFFFFF" w:fill="F79646" w:themeFill="accent6"/>
      </w:tcPr>
    </w:tblStylePr>
    <w:tblStylePr w:type="lastCol">
      <w:rPr>
        <w:sz w:val="22"/>
      </w:rPr>
      <w:tblPr/>
      <w:tcPr>
        <w:shd w:val="clear" w:color="FFFFFF" w:fill="F79646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C0504D" w:themeColor="accent2"/>
        </w:tcBorders>
      </w:tcPr>
    </w:tblStylePr>
    <w:tblStylePr w:type="lastRow">
      <w:rPr>
        <w:sz w:val="22"/>
      </w:rPr>
      <w:tblPr/>
      <w:tcPr>
        <w:tcBorders>
          <w:top w:val="single" w:sz="12" w:space="0" w:color="C0504D" w:themeColor="accent2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C0504D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sz w:val="22"/>
      </w:rPr>
      <w:tblPr/>
      <w:tcPr>
        <w:tcBorders>
          <w:top w:val="single" w:sz="12" w:space="0" w:color="9BBB59" w:themeColor="accent3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9BBB59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8064A2" w:themeColor="accent4"/>
        </w:tcBorders>
      </w:tcPr>
    </w:tblStylePr>
    <w:tblStylePr w:type="lastRow">
      <w:rPr>
        <w:sz w:val="22"/>
      </w:rPr>
      <w:tblPr/>
      <w:tcPr>
        <w:tcBorders>
          <w:top w:val="single" w:sz="12" w:space="0" w:color="8064A2" w:themeColor="accent4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8064A2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sz w:val="22"/>
      </w:rPr>
      <w:tblPr/>
      <w:tcPr>
        <w:tcBorders>
          <w:top w:val="single" w:sz="12" w:space="0" w:color="4BACC6" w:themeColor="accent5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BACC6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sz w:val="22"/>
      </w:rPr>
      <w:tblPr/>
      <w:tcPr>
        <w:tcBorders>
          <w:top w:val="single" w:sz="12" w:space="0" w:color="F79646" w:themeColor="accent6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F79646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82C97-0F57-4A50-A2A5-4A1DE012F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3475</Words>
  <Characters>19812</Characters>
  <Application>Microsoft Office Word</Application>
  <DocSecurity>0</DocSecurity>
  <Lines>165</Lines>
  <Paragraphs>46</Paragraphs>
  <ScaleCrop>false</ScaleCrop>
  <Company/>
  <LinksUpToDate>false</LinksUpToDate>
  <CharactersWithSpaces>23241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Ахтямова Г.С.</dc:creator>
  <dc:description/>
  <cp:lastModifiedBy>Хамидуллина Алсу</cp:lastModifiedBy>
  <cp:revision>427</cp:revision>
  <dcterms:created xsi:type="dcterms:W3CDTF">2024-03-06T08:14:00Z</dcterms:created>
  <dcterms:modified xsi:type="dcterms:W3CDTF">2026-02-18T13:11:00Z</dcterms:modified>
  <dc:language>ru-RU</dc:language>
</cp:coreProperties>
</file>