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D11" w:rsidRDefault="0038137D" w:rsidP="0038137D">
      <w:pPr>
        <w:pStyle w:val="user1"/>
        <w:spacing w:line="283" w:lineRule="exact"/>
        <w:rPr>
          <w:rFonts w:ascii="PT Astra Serif" w:hAnsi="PT Astra Serif" w:cs="PT Astra Serif"/>
          <w:b w:val="0"/>
          <w:sz w:val="26"/>
          <w:szCs w:val="26"/>
        </w:rPr>
      </w:pPr>
      <w:r>
        <w:rPr>
          <w:rFonts w:ascii="PT Astra Serif" w:hAnsi="PT Astra Serif" w:cs="PT Astra Serif"/>
          <w:b w:val="0"/>
          <w:sz w:val="26"/>
          <w:szCs w:val="26"/>
        </w:rPr>
        <w:t>Распоряжение Исполнительного комитета муниципального</w:t>
      </w:r>
    </w:p>
    <w:p w:rsidR="0038137D" w:rsidRDefault="0038137D" w:rsidP="0038137D">
      <w:pPr>
        <w:pStyle w:val="user1"/>
        <w:spacing w:line="283" w:lineRule="exact"/>
        <w:rPr>
          <w:rFonts w:ascii="PT Astra Serif" w:hAnsi="PT Astra Serif" w:cs="PT Astra Serif"/>
          <w:b w:val="0"/>
          <w:sz w:val="26"/>
          <w:szCs w:val="26"/>
        </w:rPr>
      </w:pPr>
      <w:r w:rsidRPr="0038137D">
        <w:rPr>
          <w:rFonts w:ascii="PT Astra Serif" w:hAnsi="PT Astra Serif" w:cs="PT Astra Serif"/>
          <w:b w:val="0"/>
          <w:sz w:val="26"/>
          <w:szCs w:val="26"/>
        </w:rPr>
        <w:t>образования город Набережные Челны</w:t>
      </w:r>
    </w:p>
    <w:p w:rsidR="0038137D" w:rsidRPr="0038137D" w:rsidRDefault="0038137D" w:rsidP="0038137D">
      <w:pPr>
        <w:pStyle w:val="af7"/>
        <w:ind w:firstLine="0"/>
      </w:pPr>
      <w:r>
        <w:t>от 30 декабря 2025                                                                                                                          №3142-р</w:t>
      </w:r>
    </w:p>
    <w:p w:rsidR="00F06D11" w:rsidRDefault="00F06D11">
      <w:pPr>
        <w:pStyle w:val="user1"/>
        <w:spacing w:line="283" w:lineRule="exact"/>
        <w:jc w:val="left"/>
        <w:rPr>
          <w:rFonts w:ascii="PT Astra Serif" w:hAnsi="PT Astra Serif" w:cs="PT Astra Serif"/>
          <w:b w:val="0"/>
          <w:sz w:val="26"/>
          <w:szCs w:val="26"/>
        </w:rPr>
      </w:pPr>
    </w:p>
    <w:p w:rsidR="00F06D11" w:rsidRDefault="0038137D">
      <w:pPr>
        <w:pStyle w:val="user1"/>
        <w:spacing w:line="283" w:lineRule="exact"/>
        <w:jc w:val="left"/>
        <w:rPr>
          <w:rFonts w:ascii="PT Astra Serif" w:hAnsi="PT Astra Serif" w:cs="PT Astra Serif"/>
          <w:b w:val="0"/>
          <w:sz w:val="26"/>
          <w:szCs w:val="26"/>
        </w:rPr>
      </w:pPr>
      <w:bookmarkStart w:id="0" w:name="_ref_1-b860620167d24a"/>
      <w:bookmarkStart w:id="1" w:name="_docStart_1"/>
      <w:bookmarkStart w:id="2" w:name="_title_1"/>
      <w:bookmarkEnd w:id="0"/>
      <w:r>
        <w:rPr>
          <w:rFonts w:ascii="PT Astra Serif" w:hAnsi="PT Astra Serif" w:cs="PT Astra Serif"/>
          <w:b w:val="0"/>
          <w:sz w:val="26"/>
          <w:szCs w:val="26"/>
        </w:rPr>
        <w:t xml:space="preserve">Об утверждении Учетной политики </w:t>
      </w:r>
      <w:bookmarkEnd w:id="1"/>
      <w:bookmarkEnd w:id="2"/>
    </w:p>
    <w:p w:rsidR="00F06D11" w:rsidRDefault="0038137D">
      <w:pPr>
        <w:pStyle w:val="user1"/>
        <w:spacing w:line="283" w:lineRule="exact"/>
        <w:jc w:val="left"/>
        <w:rPr>
          <w:rFonts w:ascii="PT Astra Serif" w:hAnsi="PT Astra Serif" w:cs="PT Astra Serif"/>
          <w:b w:val="0"/>
          <w:sz w:val="26"/>
          <w:szCs w:val="26"/>
        </w:rPr>
      </w:pPr>
      <w:r>
        <w:rPr>
          <w:rFonts w:ascii="PT Astra Serif" w:hAnsi="PT Astra Serif" w:cs="PT Astra Serif"/>
          <w:b w:val="0"/>
          <w:sz w:val="26"/>
          <w:szCs w:val="26"/>
        </w:rPr>
        <w:t>Исполнительного комитета муниципального</w:t>
      </w:r>
    </w:p>
    <w:p w:rsidR="00F06D11" w:rsidRDefault="0038137D">
      <w:pPr>
        <w:pStyle w:val="user1"/>
        <w:spacing w:line="283" w:lineRule="exact"/>
        <w:jc w:val="left"/>
        <w:rPr>
          <w:rFonts w:ascii="PT Astra Serif" w:hAnsi="PT Astra Serif" w:cs="PT Astra Serif"/>
          <w:sz w:val="26"/>
          <w:szCs w:val="26"/>
        </w:rPr>
      </w:pPr>
      <w:r>
        <w:rPr>
          <w:rFonts w:ascii="PT Astra Serif" w:hAnsi="PT Astra Serif" w:cs="PT Astra Serif"/>
          <w:b w:val="0"/>
          <w:sz w:val="26"/>
          <w:szCs w:val="26"/>
        </w:rPr>
        <w:t>образования город Набережные Челны</w:t>
      </w:r>
    </w:p>
    <w:p w:rsidR="00F06D11" w:rsidRDefault="00F06D11">
      <w:pPr>
        <w:spacing w:before="0" w:after="0" w:line="283" w:lineRule="exact"/>
        <w:ind w:firstLine="709"/>
        <w:contextualSpacing/>
        <w:rPr>
          <w:color w:val="000000"/>
        </w:rPr>
      </w:pPr>
    </w:p>
    <w:p w:rsidR="00F06D11" w:rsidRDefault="0038137D">
      <w:pPr>
        <w:spacing w:before="0" w:after="0" w:line="283" w:lineRule="exact"/>
        <w:ind w:firstLine="709"/>
        <w:contextualSpacing/>
      </w:pPr>
      <w:r>
        <w:rPr>
          <w:rFonts w:ascii="PT Astra Serif" w:hAnsi="PT Astra Serif" w:cs="PT Astra Serif"/>
          <w:color w:val="000000"/>
          <w:sz w:val="26"/>
          <w:szCs w:val="26"/>
        </w:rPr>
        <w:t xml:space="preserve">В соответствии с </w:t>
      </w:r>
      <w:hyperlink r:id="rId7" w:tgtFrame="https://cloud.consultant.ru/cloud/cgi/online.cgi?req=doc&amp;amp;base=LAW&amp;amp;n=303639&amp;amp;fld=134&amp;amp;dst=100004&amp;amp;last=1">
        <w:r>
          <w:rPr>
            <w:rStyle w:val="af0"/>
            <w:rFonts w:ascii="PT Astra Serif" w:hAnsi="PT Astra Serif" w:cs="PT Astra Serif"/>
            <w:color w:val="000000"/>
            <w:sz w:val="26"/>
            <w:szCs w:val="26"/>
            <w:u w:val="none"/>
          </w:rPr>
          <w:t>Федеральным законом</w:t>
        </w:r>
      </w:hyperlink>
      <w:r>
        <w:rPr>
          <w:rFonts w:ascii="PT Astra Serif" w:hAnsi="PT Astra Serif" w:cs="PT Astra Serif"/>
          <w:color w:val="000000"/>
          <w:sz w:val="26"/>
          <w:szCs w:val="26"/>
        </w:rPr>
        <w:t xml:space="preserve"> от 06.12.2011 № 402-ФЗ                          «О бухгалтерском учете», </w:t>
      </w:r>
      <w:hyperlink r:id="rId8" w:tgtFrame="https://cloud.consultant.ru/cloud/cgi/online.cgi?req=doc&amp;amp;base=LAW&amp;amp;n=294722&amp;amp;fld=134&amp;amp;dst=100002&amp;amp;last=1">
        <w:r>
          <w:rPr>
            <w:rStyle w:val="af0"/>
            <w:rFonts w:ascii="PT Astra Serif" w:hAnsi="PT Astra Serif" w:cs="PT Astra Serif"/>
            <w:color w:val="000000"/>
            <w:sz w:val="26"/>
            <w:szCs w:val="26"/>
            <w:u w:val="none"/>
          </w:rPr>
          <w:t>Приказом</w:t>
        </w:r>
      </w:hyperlink>
      <w:r>
        <w:rPr>
          <w:rFonts w:ascii="PT Astra Serif" w:hAnsi="PT Astra Serif" w:cs="PT Astra Serif"/>
          <w:color w:val="000000"/>
          <w:sz w:val="26"/>
          <w:szCs w:val="26"/>
        </w:rPr>
        <w:t xml:space="preserve"> Минфина России от 28.12.2010 № 191н                 </w:t>
      </w:r>
      <w:r>
        <w:rPr>
          <w:rFonts w:ascii="PT Astra Serif" w:hAnsi="PT Astra Serif" w:cs="PT Astra Serif"/>
          <w:bCs/>
          <w:color w:val="000000"/>
          <w:sz w:val="26"/>
          <w:szCs w:val="26"/>
          <w:shd w:val="clear" w:color="auto" w:fill="FFFFFF"/>
        </w:rPr>
        <w:t>«Об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статьёй 41 Устава города</w:t>
      </w:r>
    </w:p>
    <w:p w:rsidR="00F06D11" w:rsidRDefault="00F06D11">
      <w:pPr>
        <w:spacing w:before="0" w:after="0" w:line="283" w:lineRule="exact"/>
        <w:contextualSpacing/>
        <w:rPr>
          <w:rFonts w:ascii="PT Astra Serif" w:hAnsi="PT Astra Serif" w:cs="PT Astra Serif"/>
          <w:color w:val="000000"/>
          <w:sz w:val="26"/>
          <w:szCs w:val="26"/>
        </w:rPr>
      </w:pPr>
    </w:p>
    <w:p w:rsidR="00F06D11" w:rsidRDefault="00F06D11">
      <w:pPr>
        <w:spacing w:before="0" w:after="0" w:line="283" w:lineRule="exact"/>
        <w:contextualSpacing/>
        <w:rPr>
          <w:rFonts w:ascii="PT Astra Serif" w:hAnsi="PT Astra Serif" w:cs="PT Astra Serif"/>
          <w:sz w:val="26"/>
          <w:szCs w:val="26"/>
        </w:rPr>
      </w:pPr>
    </w:p>
    <w:p w:rsidR="00F06D11" w:rsidRDefault="0038137D">
      <w:pPr>
        <w:spacing w:before="0" w:after="0" w:line="283" w:lineRule="exact"/>
        <w:ind w:firstLine="709"/>
        <w:contextualSpacing/>
        <w:rPr>
          <w:rFonts w:ascii="PT Astra Serif" w:hAnsi="PT Astra Serif" w:cs="PT Astra Serif"/>
          <w:sz w:val="26"/>
          <w:szCs w:val="26"/>
        </w:rPr>
      </w:pPr>
      <w:r>
        <w:rPr>
          <w:rFonts w:ascii="PT Astra Serif" w:hAnsi="PT Astra Serif" w:cs="PT Astra Serif"/>
          <w:sz w:val="26"/>
          <w:szCs w:val="26"/>
        </w:rPr>
        <w:t>1. Утвердить Учетную политику Исполнительного комитета муниципального образования город Набережные Челны согласно приложению.</w:t>
      </w:r>
    </w:p>
    <w:p w:rsidR="00F06D11" w:rsidRDefault="0038137D">
      <w:pPr>
        <w:spacing w:before="0" w:after="0" w:line="283" w:lineRule="exact"/>
        <w:ind w:firstLine="709"/>
        <w:contextualSpacing/>
        <w:rPr>
          <w:rFonts w:ascii="PT Astra Serif" w:hAnsi="PT Astra Serif" w:cs="PT Astra Serif"/>
          <w:sz w:val="26"/>
          <w:szCs w:val="26"/>
        </w:rPr>
      </w:pPr>
      <w:r>
        <w:rPr>
          <w:rFonts w:ascii="PT Astra Serif" w:hAnsi="PT Astra Serif" w:cs="PT Astra Serif"/>
          <w:sz w:val="26"/>
          <w:szCs w:val="26"/>
        </w:rPr>
        <w:t>2. Признать утратившими силу:</w:t>
      </w:r>
    </w:p>
    <w:p w:rsidR="00F06D11" w:rsidRDefault="0038137D">
      <w:pPr>
        <w:spacing w:line="283" w:lineRule="exact"/>
        <w:ind w:firstLine="709"/>
        <w:contextualSpacing/>
        <w:rPr>
          <w:rFonts w:ascii="PT Astra Serif" w:hAnsi="PT Astra Serif" w:cs="PT Astra Serif"/>
          <w:sz w:val="26"/>
          <w:szCs w:val="26"/>
        </w:rPr>
      </w:pPr>
      <w:r>
        <w:rPr>
          <w:rFonts w:ascii="PT Astra Serif" w:hAnsi="PT Astra Serif" w:cs="PT Astra Serif"/>
          <w:sz w:val="26"/>
          <w:szCs w:val="26"/>
        </w:rPr>
        <w:t>1) Распоряжение Исполнительного комитета от 05.07.2021 № 468-р                    «Об утверждении учетной политики Исполнительного комитета муниципального образования город Набережные Челны»;</w:t>
      </w:r>
    </w:p>
    <w:p w:rsidR="00F06D11" w:rsidRDefault="0038137D">
      <w:pPr>
        <w:spacing w:line="283" w:lineRule="exact"/>
        <w:ind w:firstLine="709"/>
        <w:contextualSpacing/>
        <w:rPr>
          <w:rFonts w:ascii="PT Astra Serif" w:hAnsi="PT Astra Serif" w:cs="PT Astra Serif"/>
          <w:sz w:val="26"/>
          <w:szCs w:val="26"/>
        </w:rPr>
      </w:pPr>
      <w:r>
        <w:rPr>
          <w:rFonts w:ascii="PT Astra Serif" w:hAnsi="PT Astra Serif" w:cs="PT Astra Serif"/>
          <w:sz w:val="26"/>
          <w:szCs w:val="26"/>
        </w:rPr>
        <w:t>2) Распоряжение Исполнительного комитета от 10.11.2023 № 2526-р                   «О внесении изменений в Распоряжение Исполнительного комитета от 05.07.2021 №468-р «Об утверждении учетной политики Исполнительного комитета муниципального образования город Набережные Челны»;</w:t>
      </w:r>
    </w:p>
    <w:p w:rsidR="00F06D11" w:rsidRDefault="0038137D">
      <w:pPr>
        <w:spacing w:line="283" w:lineRule="exact"/>
        <w:ind w:firstLine="709"/>
        <w:contextualSpacing/>
        <w:rPr>
          <w:rFonts w:ascii="PT Astra Serif" w:hAnsi="PT Astra Serif" w:cs="PT Astra Serif"/>
          <w:sz w:val="26"/>
          <w:szCs w:val="26"/>
        </w:rPr>
      </w:pPr>
      <w:r>
        <w:rPr>
          <w:rFonts w:ascii="PT Astra Serif" w:hAnsi="PT Astra Serif" w:cs="PT Astra Serif"/>
          <w:sz w:val="26"/>
          <w:szCs w:val="26"/>
        </w:rPr>
        <w:t>3) Распоряжение Исполнительного комитета от 24.05.2024 № 971-р                 «О внесении изменений в Учетную политику Исполнительного комитета муниципального образования город Набережные Челны, утвержденную Распоряжением Исполнительного комитета от 05.07.2021 №468-р»;</w:t>
      </w:r>
    </w:p>
    <w:p w:rsidR="00F06D11" w:rsidRDefault="0038137D">
      <w:pPr>
        <w:spacing w:line="283" w:lineRule="exact"/>
        <w:ind w:firstLine="709"/>
        <w:contextualSpacing/>
        <w:rPr>
          <w:rFonts w:ascii="PT Astra Serif" w:hAnsi="PT Astra Serif" w:cs="PT Astra Serif"/>
          <w:sz w:val="26"/>
          <w:szCs w:val="26"/>
        </w:rPr>
      </w:pPr>
      <w:r>
        <w:rPr>
          <w:rFonts w:ascii="PT Astra Serif" w:hAnsi="PT Astra Serif" w:cs="PT Astra Serif"/>
          <w:sz w:val="26"/>
          <w:szCs w:val="26"/>
        </w:rPr>
        <w:t>4) Распоряжение Исполнительного комитета от 06.02.2025 № 241-р                      «О внесении изменений в Учетную политику Исполнительного комитета муниципального образования город Набережные Челны, утверждённую Распоряжением Исполнительного комитета от 05.07.2021 №468-р»;</w:t>
      </w:r>
    </w:p>
    <w:p w:rsidR="00F06D11" w:rsidRDefault="0038137D">
      <w:pPr>
        <w:spacing w:line="283" w:lineRule="exact"/>
        <w:ind w:firstLine="709"/>
        <w:contextualSpacing/>
        <w:rPr>
          <w:rFonts w:ascii="PT Astra Serif" w:hAnsi="PT Astra Serif" w:cs="PT Astra Serif"/>
          <w:sz w:val="26"/>
          <w:szCs w:val="26"/>
        </w:rPr>
      </w:pPr>
      <w:r>
        <w:rPr>
          <w:rFonts w:ascii="PT Astra Serif" w:hAnsi="PT Astra Serif" w:cs="PT Astra Serif"/>
          <w:sz w:val="26"/>
          <w:szCs w:val="26"/>
        </w:rPr>
        <w:t>5) Распоряжение Исполнительного комитета от 04.04.2025 № 700-р                         «О внесении изменений в Учетную политику Исполнительного комитета муниципального образования город Набережные Челны, утвержденную Распоряжением Исполнительного комитета от 05.07.2021 №468-р «Об утверждении учетной политики Исполнительного комитета муниципального образования город Набережные Челны»;</w:t>
      </w:r>
    </w:p>
    <w:p w:rsidR="00F06D11" w:rsidRDefault="0038137D">
      <w:pPr>
        <w:spacing w:line="283" w:lineRule="exact"/>
        <w:ind w:firstLine="709"/>
        <w:contextualSpacing/>
        <w:rPr>
          <w:rFonts w:ascii="PT Astra Serif" w:hAnsi="PT Astra Serif" w:cs="PT Astra Serif"/>
          <w:sz w:val="26"/>
          <w:szCs w:val="26"/>
        </w:rPr>
      </w:pPr>
      <w:r>
        <w:rPr>
          <w:rFonts w:ascii="PT Astra Serif" w:hAnsi="PT Astra Serif" w:cs="PT Astra Serif"/>
          <w:sz w:val="26"/>
          <w:szCs w:val="26"/>
        </w:rPr>
        <w:t>6) Распоряжение Исполнительного комитета от 10.12.2025 № 2938-р                   «О внесении изменений в распоряжение Исполнительного комитета от 05.07.2021 №468-р «Об утверждении учетной политики Исполнительного комитета муниципального образования город Набережные Челны»;</w:t>
      </w:r>
    </w:p>
    <w:p w:rsidR="00F06D11" w:rsidRDefault="0038137D">
      <w:pPr>
        <w:spacing w:line="283" w:lineRule="exact"/>
        <w:ind w:firstLine="709"/>
        <w:contextualSpacing/>
        <w:rPr>
          <w:rFonts w:ascii="PT Astra Serif" w:hAnsi="PT Astra Serif" w:cs="PT Astra Serif"/>
          <w:sz w:val="26"/>
          <w:szCs w:val="26"/>
        </w:rPr>
      </w:pPr>
      <w:r>
        <w:rPr>
          <w:rFonts w:ascii="PT Astra Serif" w:hAnsi="PT Astra Serif" w:cs="PT Astra Serif"/>
          <w:sz w:val="26"/>
          <w:szCs w:val="26"/>
        </w:rPr>
        <w:t>7) Распоряжение Исполнительного комитета от 22.12.2025 № 3031-р                        «О внесении изменений в Распоряжение Исполнительного комитета от 05.07.2021 №468-р «Об утверждении учетной политики Исполнительного комитета муниципального образования город Набережные Челны».</w:t>
      </w:r>
    </w:p>
    <w:p w:rsidR="00F06D11" w:rsidRDefault="0038137D">
      <w:pPr>
        <w:spacing w:line="283" w:lineRule="exact"/>
        <w:ind w:firstLine="709"/>
        <w:contextualSpacing/>
        <w:rPr>
          <w:rFonts w:ascii="PT Astra Serif" w:hAnsi="PT Astra Serif" w:cs="PT Astra Serif"/>
          <w:sz w:val="26"/>
          <w:szCs w:val="26"/>
        </w:rPr>
      </w:pPr>
      <w:r>
        <w:rPr>
          <w:rFonts w:ascii="PT Astra Serif" w:hAnsi="PT Astra Serif" w:cs="PT Astra Serif"/>
          <w:sz w:val="26"/>
          <w:szCs w:val="26"/>
        </w:rPr>
        <w:lastRenderedPageBreak/>
        <w:t>3. Контроль за исполнением настоящего распоряжения возложить                        на начальника отдела бухгалтерского учета и отчетности </w:t>
      </w:r>
      <w:bookmarkStart w:id="3" w:name="_GoBack"/>
      <w:bookmarkEnd w:id="3"/>
      <w:r>
        <w:rPr>
          <w:rFonts w:ascii="PT Astra Serif" w:hAnsi="PT Astra Serif" w:cs="PT Astra Serif"/>
          <w:sz w:val="26"/>
          <w:szCs w:val="26"/>
        </w:rPr>
        <w:t>Исполнительного комитета Фахрутдинову С.З</w:t>
      </w:r>
      <w:r>
        <w:rPr>
          <w:rFonts w:ascii="PT Astra Serif" w:hAnsi="PT Astra Serif" w:cs="PT Astra Serif"/>
          <w:i/>
          <w:sz w:val="26"/>
          <w:szCs w:val="26"/>
        </w:rPr>
        <w:t>.</w:t>
      </w:r>
    </w:p>
    <w:p w:rsidR="00F06D11" w:rsidRDefault="00F06D11">
      <w:pPr>
        <w:spacing w:line="283" w:lineRule="exact"/>
        <w:contextualSpacing/>
        <w:rPr>
          <w:rFonts w:ascii="PT Astra Serif" w:hAnsi="PT Astra Serif" w:cs="PT Astra Serif"/>
          <w:sz w:val="26"/>
          <w:szCs w:val="26"/>
        </w:rPr>
      </w:pPr>
    </w:p>
    <w:p w:rsidR="00F06D11" w:rsidRDefault="00F06D11">
      <w:pPr>
        <w:spacing w:line="283" w:lineRule="exact"/>
        <w:contextualSpacing/>
        <w:rPr>
          <w:rFonts w:ascii="PT Astra Serif" w:hAnsi="PT Astra Serif" w:cs="PT Astra Serif"/>
          <w:sz w:val="26"/>
          <w:szCs w:val="26"/>
        </w:rPr>
      </w:pPr>
    </w:p>
    <w:p w:rsidR="00F06D11" w:rsidRDefault="00F06D11">
      <w:pPr>
        <w:spacing w:line="283" w:lineRule="exact"/>
        <w:contextualSpacing/>
        <w:rPr>
          <w:rFonts w:ascii="PT Astra Serif" w:hAnsi="PT Astra Serif" w:cs="PT Astra Serif"/>
          <w:sz w:val="26"/>
          <w:szCs w:val="26"/>
        </w:rPr>
      </w:pPr>
    </w:p>
    <w:p w:rsidR="00F06D11" w:rsidRDefault="0038137D">
      <w:pPr>
        <w:spacing w:before="0" w:after="0" w:line="283" w:lineRule="exact"/>
        <w:ind w:firstLine="0"/>
        <w:contextualSpacing/>
        <w:rPr>
          <w:rFonts w:ascii="PT Astra Serif" w:hAnsi="PT Astra Serif" w:cs="PT Astra Serif"/>
          <w:sz w:val="26"/>
          <w:szCs w:val="26"/>
        </w:rPr>
      </w:pPr>
      <w:r>
        <w:rPr>
          <w:rFonts w:ascii="PT Astra Serif" w:hAnsi="PT Astra Serif" w:cs="PT Astra Serif"/>
          <w:sz w:val="26"/>
          <w:szCs w:val="26"/>
        </w:rPr>
        <w:t xml:space="preserve">Руководитель </w:t>
      </w:r>
    </w:p>
    <w:p w:rsidR="00F06D11" w:rsidRDefault="0038137D">
      <w:pPr>
        <w:spacing w:before="0" w:after="0" w:line="283" w:lineRule="exact"/>
        <w:ind w:firstLine="0"/>
        <w:contextualSpacing/>
        <w:rPr>
          <w:rFonts w:ascii="PT Astra Serif" w:hAnsi="PT Astra Serif" w:cs="PT Astra Serif"/>
          <w:sz w:val="26"/>
          <w:szCs w:val="26"/>
        </w:rPr>
        <w:sectPr w:rsidR="00F06D11">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0" w:footer="0" w:gutter="0"/>
          <w:pgNumType w:start="1"/>
          <w:cols w:space="720"/>
          <w:formProt w:val="0"/>
          <w:docGrid w:linePitch="360"/>
        </w:sectPr>
      </w:pPr>
      <w:r>
        <w:rPr>
          <w:rFonts w:ascii="PT Astra Serif" w:hAnsi="PT Astra Serif" w:cs="PT Astra Serif"/>
          <w:sz w:val="26"/>
          <w:szCs w:val="26"/>
        </w:rPr>
        <w:t>Исполнительного комитета                                                                        Ф.Ш. Салахов</w:t>
      </w:r>
    </w:p>
    <w:p w:rsidR="00F06D11" w:rsidRDefault="0038137D">
      <w:pPr>
        <w:pStyle w:val="user1"/>
        <w:ind w:firstLine="5953"/>
        <w:jc w:val="left"/>
        <w:rPr>
          <w:rFonts w:ascii="PT Astra Serif" w:hAnsi="PT Astra Serif" w:cs="PT Astra Serif"/>
          <w:b w:val="0"/>
          <w:sz w:val="26"/>
          <w:szCs w:val="26"/>
        </w:rPr>
      </w:pPr>
      <w:bookmarkStart w:id="4" w:name="_ref_1-b860620167d24a_Копия_1"/>
      <w:bookmarkEnd w:id="4"/>
      <w:r>
        <w:rPr>
          <w:rFonts w:ascii="PT Astra Serif" w:hAnsi="PT Astra Serif" w:cs="PT Astra Serif"/>
          <w:b w:val="0"/>
          <w:sz w:val="26"/>
          <w:szCs w:val="26"/>
        </w:rPr>
        <w:lastRenderedPageBreak/>
        <w:t xml:space="preserve">Приложение </w:t>
      </w:r>
    </w:p>
    <w:p w:rsidR="00F06D11" w:rsidRDefault="0038137D">
      <w:pPr>
        <w:pStyle w:val="user1"/>
        <w:ind w:firstLine="5953"/>
        <w:jc w:val="left"/>
        <w:rPr>
          <w:rFonts w:ascii="PT Astra Serif" w:hAnsi="PT Astra Serif" w:cs="PT Astra Serif"/>
          <w:b w:val="0"/>
          <w:sz w:val="26"/>
          <w:szCs w:val="26"/>
        </w:rPr>
      </w:pPr>
      <w:r>
        <w:rPr>
          <w:rFonts w:ascii="PT Astra Serif" w:hAnsi="PT Astra Serif" w:cs="PT Astra Serif"/>
          <w:b w:val="0"/>
          <w:sz w:val="26"/>
          <w:szCs w:val="26"/>
        </w:rPr>
        <w:t>к распоряжению</w:t>
      </w:r>
    </w:p>
    <w:p w:rsidR="00F06D11" w:rsidRDefault="0038137D">
      <w:pPr>
        <w:pStyle w:val="user1"/>
        <w:ind w:firstLine="5953"/>
        <w:jc w:val="left"/>
        <w:rPr>
          <w:rFonts w:ascii="PT Astra Serif" w:hAnsi="PT Astra Serif" w:cs="PT Astra Serif"/>
          <w:b w:val="0"/>
          <w:sz w:val="26"/>
          <w:szCs w:val="26"/>
        </w:rPr>
      </w:pPr>
      <w:r>
        <w:rPr>
          <w:rFonts w:ascii="PT Astra Serif" w:hAnsi="PT Astra Serif" w:cs="PT Astra Serif"/>
          <w:b w:val="0"/>
          <w:sz w:val="26"/>
          <w:szCs w:val="26"/>
        </w:rPr>
        <w:t xml:space="preserve">Исполнительного комитета </w:t>
      </w:r>
    </w:p>
    <w:p w:rsidR="00F06D11" w:rsidRDefault="0038137D">
      <w:pPr>
        <w:pStyle w:val="user1"/>
        <w:ind w:firstLine="5953"/>
        <w:jc w:val="left"/>
        <w:rPr>
          <w:rFonts w:ascii="PT Astra Serif" w:hAnsi="PT Astra Serif" w:cs="PT Astra Serif"/>
          <w:sz w:val="26"/>
          <w:szCs w:val="26"/>
          <w:u w:val="single"/>
        </w:rPr>
      </w:pPr>
      <w:r>
        <w:rPr>
          <w:rFonts w:ascii="PT Astra Serif" w:hAnsi="PT Astra Serif" w:cs="PT Astra Serif"/>
          <w:b w:val="0"/>
          <w:sz w:val="26"/>
          <w:szCs w:val="26"/>
        </w:rPr>
        <w:t>от «</w:t>
      </w:r>
      <w:r w:rsidR="00620920">
        <w:rPr>
          <w:rFonts w:ascii="PT Astra Serif" w:hAnsi="PT Astra Serif" w:cs="PT Astra Serif"/>
          <w:b w:val="0"/>
          <w:sz w:val="26"/>
          <w:szCs w:val="26"/>
        </w:rPr>
        <w:t>30</w:t>
      </w:r>
      <w:r>
        <w:rPr>
          <w:rFonts w:ascii="PT Astra Serif" w:hAnsi="PT Astra Serif" w:cs="PT Astra Serif"/>
          <w:b w:val="0"/>
          <w:sz w:val="26"/>
          <w:szCs w:val="26"/>
        </w:rPr>
        <w:t>»_</w:t>
      </w:r>
      <w:r w:rsidR="00620920">
        <w:rPr>
          <w:rFonts w:ascii="PT Astra Serif" w:hAnsi="PT Astra Serif" w:cs="PT Astra Serif"/>
          <w:b w:val="0"/>
          <w:sz w:val="26"/>
          <w:szCs w:val="26"/>
        </w:rPr>
        <w:t>12_2025 №3142-р</w:t>
      </w:r>
    </w:p>
    <w:p w:rsidR="00F06D11" w:rsidRDefault="00F06D11">
      <w:pPr>
        <w:pStyle w:val="user1"/>
        <w:ind w:firstLine="567"/>
        <w:rPr>
          <w:rFonts w:ascii="PT Astra Serif" w:hAnsi="PT Astra Serif" w:cs="PT Astra Serif"/>
          <w:b w:val="0"/>
          <w:sz w:val="26"/>
          <w:szCs w:val="26"/>
        </w:rPr>
      </w:pPr>
    </w:p>
    <w:p w:rsidR="00F06D11" w:rsidRDefault="0038137D">
      <w:pPr>
        <w:pStyle w:val="user1"/>
        <w:ind w:firstLine="567"/>
        <w:rPr>
          <w:rFonts w:ascii="PT Astra Serif" w:hAnsi="PT Astra Serif" w:cs="PT Astra Serif"/>
          <w:b w:val="0"/>
          <w:sz w:val="26"/>
          <w:szCs w:val="26"/>
        </w:rPr>
      </w:pPr>
      <w:bookmarkStart w:id="5" w:name="_title_2"/>
      <w:bookmarkStart w:id="6" w:name="_docEnd_1"/>
      <w:bookmarkStart w:id="7" w:name="_docStart_2"/>
      <w:bookmarkEnd w:id="5"/>
      <w:r>
        <w:rPr>
          <w:rFonts w:ascii="PT Astra Serif" w:hAnsi="PT Astra Serif" w:cs="PT Astra Serif"/>
          <w:b w:val="0"/>
          <w:sz w:val="26"/>
          <w:szCs w:val="26"/>
        </w:rPr>
        <w:t>Учетная политика</w:t>
      </w:r>
      <w:bookmarkStart w:id="8" w:name="_ref_1-e72ca710d79345"/>
      <w:bookmarkEnd w:id="6"/>
      <w:bookmarkEnd w:id="7"/>
    </w:p>
    <w:p w:rsidR="00F06D11" w:rsidRDefault="0038137D">
      <w:pPr>
        <w:pStyle w:val="user1"/>
        <w:ind w:firstLine="567"/>
        <w:rPr>
          <w:rFonts w:ascii="PT Astra Serif" w:hAnsi="PT Astra Serif" w:cs="PT Astra Serif"/>
          <w:b w:val="0"/>
          <w:sz w:val="26"/>
          <w:szCs w:val="26"/>
        </w:rPr>
      </w:pPr>
      <w:r>
        <w:rPr>
          <w:rFonts w:ascii="PT Astra Serif" w:hAnsi="PT Astra Serif" w:cs="PT Astra Serif"/>
          <w:b w:val="0"/>
          <w:sz w:val="26"/>
          <w:szCs w:val="26"/>
        </w:rPr>
        <w:t>Исполнительного комитета</w:t>
      </w:r>
    </w:p>
    <w:p w:rsidR="00F06D11" w:rsidRDefault="0038137D">
      <w:pPr>
        <w:pStyle w:val="user1"/>
        <w:ind w:firstLine="567"/>
        <w:rPr>
          <w:rFonts w:ascii="PT Astra Serif" w:eastAsia="PT Astra Serif" w:hAnsi="PT Astra Serif" w:cs="PT Astra Serif"/>
          <w:b w:val="0"/>
          <w:sz w:val="26"/>
          <w:szCs w:val="26"/>
        </w:rPr>
      </w:pPr>
      <w:r>
        <w:rPr>
          <w:rFonts w:ascii="PT Astra Serif" w:hAnsi="PT Astra Serif" w:cs="PT Astra Serif"/>
          <w:b w:val="0"/>
          <w:sz w:val="26"/>
          <w:szCs w:val="26"/>
        </w:rPr>
        <w:t xml:space="preserve">муниципального образования город Набережные Челны </w:t>
      </w:r>
    </w:p>
    <w:p w:rsidR="00F06D11" w:rsidRDefault="0038137D">
      <w:pPr>
        <w:pStyle w:val="1"/>
        <w:numPr>
          <w:ilvl w:val="0"/>
          <w:numId w:val="0"/>
        </w:numPr>
        <w:ind w:firstLine="567"/>
        <w:jc w:val="both"/>
        <w:rPr>
          <w:rFonts w:ascii="PT Astra Serif" w:hAnsi="PT Astra Serif" w:cs="PT Astra Serif"/>
          <w:sz w:val="26"/>
          <w:szCs w:val="26"/>
        </w:rPr>
      </w:pPr>
      <w:bookmarkStart w:id="9" w:name="_title_2_Копия_1"/>
      <w:bookmarkEnd w:id="9"/>
      <w:r>
        <w:rPr>
          <w:rFonts w:ascii="PT Astra Serif" w:eastAsia="PT Astra Serif" w:hAnsi="PT Astra Serif" w:cs="PT Astra Serif"/>
          <w:b w:val="0"/>
          <w:bCs w:val="0"/>
          <w:spacing w:val="5"/>
          <w:sz w:val="26"/>
          <w:szCs w:val="26"/>
        </w:rPr>
        <w:t xml:space="preserve">                                       </w:t>
      </w:r>
      <w:r>
        <w:rPr>
          <w:rFonts w:ascii="PT Astra Serif" w:hAnsi="PT Astra Serif" w:cs="PT Astra Serif"/>
          <w:b w:val="0"/>
          <w:bCs w:val="0"/>
          <w:spacing w:val="5"/>
          <w:sz w:val="26"/>
          <w:szCs w:val="26"/>
        </w:rPr>
        <w:t>ГЛАВА 1. Общие положения</w:t>
      </w:r>
    </w:p>
    <w:p w:rsidR="00F06D11" w:rsidRDefault="0038137D">
      <w:pPr>
        <w:pStyle w:val="2"/>
        <w:tabs>
          <w:tab w:val="clear" w:pos="0"/>
        </w:tabs>
        <w:spacing w:line="240" w:lineRule="auto"/>
        <w:ind w:firstLine="709"/>
        <w:contextualSpacing/>
        <w:rPr>
          <w:rFonts w:ascii="PT Astra Serif" w:hAnsi="PT Astra Serif" w:cs="PT Astra Serif"/>
          <w:sz w:val="26"/>
        </w:rPr>
      </w:pPr>
      <w:bookmarkStart w:id="10" w:name="_ref_1-7e103fc1367240"/>
      <w:r>
        <w:rPr>
          <w:rFonts w:ascii="PT Astra Serif" w:hAnsi="PT Astra Serif" w:cs="PT Astra Serif"/>
          <w:sz w:val="26"/>
        </w:rPr>
        <w:t>1. Настоящая Учетная политика разработана в соответствии с требованиями следующих документов:</w:t>
      </w:r>
      <w:bookmarkEnd w:id="10"/>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1) Бюджетный </w:t>
      </w:r>
      <w:hyperlink r:id="rId15" w:tgtFrame="https://cloud.consultant.ru/cloud/cgi/online.cgi?req=doc&amp;amp;base=LAW&amp;amp;n=304193&amp;amp;fld=134&amp;amp;dst=1000000001&amp;amp;last=1">
        <w:r>
          <w:rPr>
            <w:rStyle w:val="af0"/>
            <w:rFonts w:ascii="PT Astra Serif" w:hAnsi="PT Astra Serif" w:cs="PT Astra Serif"/>
            <w:color w:val="auto"/>
            <w:sz w:val="26"/>
            <w:u w:val="none"/>
          </w:rPr>
          <w:t>кодекс</w:t>
        </w:r>
      </w:hyperlink>
      <w:r>
        <w:rPr>
          <w:rFonts w:ascii="PT Astra Serif" w:hAnsi="PT Astra Serif" w:cs="PT Astra Serif"/>
          <w:sz w:val="26"/>
        </w:rPr>
        <w:t xml:space="preserve"> РФ (далее - БК РФ);</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2) Федеральный </w:t>
      </w:r>
      <w:hyperlink r:id="rId16" w:tgtFrame="https://cloud.consultant.ru/cloud/cgi/online.cgi?req=doc&amp;amp;base=LAW&amp;amp;n=303639&amp;amp;fld=134&amp;amp;dst=1000000001&amp;amp;last=1">
        <w:r>
          <w:rPr>
            <w:rStyle w:val="af0"/>
            <w:rFonts w:ascii="PT Astra Serif" w:hAnsi="PT Astra Serif" w:cs="PT Astra Serif"/>
            <w:color w:val="auto"/>
            <w:sz w:val="26"/>
            <w:u w:val="none"/>
          </w:rPr>
          <w:t>закон</w:t>
        </w:r>
      </w:hyperlink>
      <w:r>
        <w:rPr>
          <w:rFonts w:ascii="PT Astra Serif" w:hAnsi="PT Astra Serif" w:cs="PT Astra Serif"/>
          <w:sz w:val="26"/>
        </w:rPr>
        <w:t xml:space="preserve"> от 06.12.2011 № 402-ФЗ "О бухгалтерском учете" (далее - Закон № 402-ФЗ);</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3) Федеральный </w:t>
      </w:r>
      <w:hyperlink r:id="rId17" w:tgtFrame="https://cloud.consultant.ru/cloud/cgi/online.cgi?req=doc&amp;amp;base=LAW&amp;amp;n=216121&amp;amp;fld=134&amp;amp;dst=100011&amp;amp;last=1">
        <w:r>
          <w:rPr>
            <w:rStyle w:val="af0"/>
            <w:rFonts w:ascii="PT Astra Serif" w:hAnsi="PT Astra Serif" w:cs="PT Astra Serif"/>
            <w:color w:val="auto"/>
            <w:sz w:val="26"/>
            <w:u w:val="none"/>
          </w:rPr>
          <w:t>стандарт</w:t>
        </w:r>
      </w:hyperlink>
      <w:r>
        <w:rPr>
          <w:rFonts w:ascii="PT Astra Serif" w:hAnsi="PT Astra Serif" w:cs="PT Astra Serif"/>
          <w:sz w:val="26"/>
        </w:rPr>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18" w:tgtFrame="https://cloud.consultant.ru/cloud/cgi/online.cgi?req=doc&amp;amp;base=LAW&amp;amp;n=216121&amp;amp;fld=134&amp;amp;dst=100011&amp;amp;last=1">
        <w:r>
          <w:rPr>
            <w:rStyle w:val="af0"/>
            <w:rFonts w:ascii="PT Astra Serif" w:hAnsi="PT Astra Serif" w:cs="PT Astra Serif"/>
            <w:color w:val="auto"/>
            <w:sz w:val="26"/>
            <w:u w:val="none"/>
          </w:rPr>
          <w:t>СГС</w:t>
        </w:r>
      </w:hyperlink>
      <w:r>
        <w:rPr>
          <w:rFonts w:ascii="PT Astra Serif" w:hAnsi="PT Astra Serif" w:cs="PT Astra Serif"/>
          <w:sz w:val="26"/>
        </w:rPr>
        <w:t xml:space="preserve"> "Концептуальные основы");</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4) Федеральный </w:t>
      </w:r>
      <w:hyperlink r:id="rId19" w:tgtFrame="https://cloud.consultant.ru/cloud/cgi/online.cgi?req=doc&amp;amp;base=LAW&amp;amp;n=216119&amp;amp;fld=134&amp;amp;dst=100011&amp;amp;last=1">
        <w:r>
          <w:rPr>
            <w:rStyle w:val="af0"/>
            <w:rFonts w:ascii="PT Astra Serif" w:hAnsi="PT Astra Serif" w:cs="PT Astra Serif"/>
            <w:color w:val="auto"/>
            <w:sz w:val="26"/>
            <w:u w:val="none"/>
          </w:rPr>
          <w:t>стандарт</w:t>
        </w:r>
      </w:hyperlink>
      <w:r>
        <w:rPr>
          <w:rFonts w:ascii="PT Astra Serif" w:hAnsi="PT Astra Serif" w:cs="PT Astra Serif"/>
          <w:sz w:val="26"/>
        </w:rPr>
        <w:t xml:space="preserve"> бухгалтерского учета для организаций государственного сектора "Основные средства", утвержденный Приказом Минфина России от 31.12.2016 № 257н (далее - </w:t>
      </w:r>
      <w:hyperlink r:id="rId20" w:tgtFrame="https://cloud.consultant.ru/cloud/cgi/online.cgi?req=doc&amp;amp;base=LAW&amp;amp;n=216119&amp;amp;fld=134&amp;amp;dst=100011&amp;amp;last=1">
        <w:r>
          <w:rPr>
            <w:rStyle w:val="af0"/>
            <w:rFonts w:ascii="PT Astra Serif" w:hAnsi="PT Astra Serif" w:cs="PT Astra Serif"/>
            <w:color w:val="auto"/>
            <w:sz w:val="26"/>
            <w:u w:val="none"/>
          </w:rPr>
          <w:t>СГС</w:t>
        </w:r>
      </w:hyperlink>
      <w:r>
        <w:rPr>
          <w:rFonts w:ascii="PT Astra Serif" w:hAnsi="PT Astra Serif" w:cs="PT Astra Serif"/>
          <w:sz w:val="26"/>
        </w:rPr>
        <w:t xml:space="preserve"> "Основные средства");</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5) Федеральный </w:t>
      </w:r>
      <w:hyperlink r:id="rId21" w:tgtFrame="https://cloud.consultant.ru/cloud/cgi/online.cgi?req=doc&amp;amp;base=LAW&amp;amp;n=216359&amp;amp;fld=134&amp;amp;dst=100011&amp;amp;last=1">
        <w:r>
          <w:rPr>
            <w:rStyle w:val="af0"/>
            <w:rFonts w:ascii="PT Astra Serif" w:hAnsi="PT Astra Serif" w:cs="PT Astra Serif"/>
            <w:color w:val="auto"/>
            <w:sz w:val="26"/>
            <w:u w:val="none"/>
          </w:rPr>
          <w:t>стандарт</w:t>
        </w:r>
      </w:hyperlink>
      <w:r>
        <w:rPr>
          <w:rFonts w:ascii="PT Astra Serif" w:hAnsi="PT Astra Serif" w:cs="PT Astra Serif"/>
          <w:sz w:val="26"/>
        </w:rPr>
        <w:t xml:space="preserve"> бухгалтерского учета для организаций государственного сектора "Аренда", утвержденный Приказом Минфина России от 31.12.2016 № 258н (далее - </w:t>
      </w:r>
      <w:hyperlink r:id="rId22" w:tgtFrame="https://cloud.consultant.ru/cloud/cgi/online.cgi?req=doc&amp;amp;base=LAW&amp;amp;n=216359&amp;amp;fld=134&amp;amp;dst=100011&amp;amp;last=1">
        <w:r>
          <w:rPr>
            <w:rStyle w:val="af0"/>
            <w:rFonts w:ascii="PT Astra Serif" w:hAnsi="PT Astra Serif" w:cs="PT Astra Serif"/>
            <w:color w:val="auto"/>
            <w:sz w:val="26"/>
            <w:u w:val="none"/>
          </w:rPr>
          <w:t>СГС</w:t>
        </w:r>
      </w:hyperlink>
      <w:r>
        <w:rPr>
          <w:rFonts w:ascii="PT Astra Serif" w:hAnsi="PT Astra Serif" w:cs="PT Astra Serif"/>
          <w:sz w:val="26"/>
        </w:rPr>
        <w:t xml:space="preserve"> "Аренда");</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6) Федеральный </w:t>
      </w:r>
      <w:hyperlink r:id="rId23" w:tgtFrame="https://cloud.consultant.ru/cloud/cgi/online.cgi?req=doc&amp;amp;base=LAW&amp;amp;n=216120&amp;amp;fld=134&amp;amp;dst=100011&amp;amp;last=1">
        <w:r>
          <w:rPr>
            <w:rStyle w:val="af0"/>
            <w:rFonts w:ascii="PT Astra Serif" w:hAnsi="PT Astra Serif" w:cs="PT Astra Serif"/>
            <w:color w:val="auto"/>
            <w:sz w:val="26"/>
            <w:u w:val="none"/>
          </w:rPr>
          <w:t>стандарт</w:t>
        </w:r>
      </w:hyperlink>
      <w:r>
        <w:rPr>
          <w:rFonts w:ascii="PT Astra Serif" w:hAnsi="PT Astra Serif" w:cs="PT Astra Serif"/>
          <w:sz w:val="26"/>
        </w:rPr>
        <w:t xml:space="preserve"> бухгалтерского учета для организаций государственного сектора "Обесценение активов", утвержденный Приказом Минфина России от 31.12.2016 № 259н (далее - </w:t>
      </w:r>
      <w:hyperlink r:id="rId24" w:tgtFrame="https://cloud.consultant.ru/cloud/cgi/online.cgi?req=doc&amp;amp;base=LAW&amp;amp;n=216120&amp;amp;fld=134&amp;amp;dst=100011&amp;amp;last=1">
        <w:r>
          <w:rPr>
            <w:rStyle w:val="af0"/>
            <w:rFonts w:ascii="PT Astra Serif" w:hAnsi="PT Astra Serif" w:cs="PT Astra Serif"/>
            <w:color w:val="auto"/>
            <w:sz w:val="26"/>
            <w:u w:val="none"/>
          </w:rPr>
          <w:t>СГС</w:t>
        </w:r>
      </w:hyperlink>
      <w:r>
        <w:rPr>
          <w:rFonts w:ascii="PT Astra Serif" w:hAnsi="PT Astra Serif" w:cs="PT Astra Serif"/>
          <w:sz w:val="26"/>
        </w:rPr>
        <w:t xml:space="preserve"> "Обесценение активов");</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7) Федеральный </w:t>
      </w:r>
      <w:hyperlink r:id="rId25" w:tgtFrame="https://cloud.consultant.ru/cloud/cgi/online.cgi?req=doc&amp;amp;base=LAW&amp;amp;n=216118&amp;amp;fld=134&amp;amp;dst=100011&amp;amp;last=1">
        <w:r>
          <w:rPr>
            <w:rStyle w:val="af0"/>
            <w:rFonts w:ascii="PT Astra Serif" w:hAnsi="PT Astra Serif" w:cs="PT Astra Serif"/>
            <w:color w:val="auto"/>
            <w:sz w:val="26"/>
            <w:u w:val="none"/>
          </w:rPr>
          <w:t>стандарт</w:t>
        </w:r>
      </w:hyperlink>
      <w:r>
        <w:rPr>
          <w:rFonts w:ascii="PT Astra Serif" w:hAnsi="PT Astra Serif" w:cs="PT Astra Serif"/>
          <w:sz w:val="26"/>
        </w:rPr>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 260н (далее - </w:t>
      </w:r>
      <w:hyperlink r:id="rId26" w:tgtFrame="https://cloud.consultant.ru/cloud/cgi/online.cgi?req=doc&amp;amp;base=LAW&amp;amp;n=216118&amp;amp;fld=134&amp;amp;dst=100011&amp;amp;last=1">
        <w:r>
          <w:rPr>
            <w:rStyle w:val="af0"/>
            <w:rFonts w:ascii="PT Astra Serif" w:hAnsi="PT Astra Serif" w:cs="PT Astra Serif"/>
            <w:color w:val="auto"/>
            <w:sz w:val="26"/>
            <w:u w:val="none"/>
          </w:rPr>
          <w:t>СГС</w:t>
        </w:r>
      </w:hyperlink>
      <w:r>
        <w:rPr>
          <w:rFonts w:ascii="PT Astra Serif" w:hAnsi="PT Astra Serif" w:cs="PT Astra Serif"/>
          <w:sz w:val="26"/>
        </w:rPr>
        <w:t xml:space="preserve"> "Представление отчетности");</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8) Федеральный </w:t>
      </w:r>
      <w:hyperlink r:id="rId27" w:tgtFrame="https://cloud.consultant.ru/cloud/cgi/online.cgi?req=doc&amp;amp;base=LAW&amp;amp;n=298347&amp;amp;fld=134&amp;amp;dst=100011&amp;amp;last=1">
        <w:r>
          <w:rPr>
            <w:rStyle w:val="af0"/>
            <w:rFonts w:ascii="PT Astra Serif" w:hAnsi="PT Astra Serif" w:cs="PT Astra Serif"/>
            <w:color w:val="auto"/>
            <w:sz w:val="26"/>
            <w:u w:val="none"/>
          </w:rPr>
          <w:t>стандарт</w:t>
        </w:r>
      </w:hyperlink>
      <w:r>
        <w:rPr>
          <w:rFonts w:ascii="PT Astra Serif" w:hAnsi="PT Astra Serif" w:cs="PT Astra Serif"/>
          <w:sz w:val="26"/>
        </w:rPr>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w:t>
      </w:r>
      <w:hyperlink r:id="rId28" w:tgtFrame="https://cloud.consultant.ru/cloud/cgi/online.cgi?req=doc&amp;amp;base=LAW&amp;amp;n=298347&amp;amp;fld=134&amp;amp;dst=100011&amp;amp;last=1">
        <w:r>
          <w:rPr>
            <w:rStyle w:val="af0"/>
            <w:rFonts w:ascii="PT Astra Serif" w:hAnsi="PT Astra Serif" w:cs="PT Astra Serif"/>
            <w:color w:val="auto"/>
            <w:sz w:val="26"/>
            <w:u w:val="none"/>
          </w:rPr>
          <w:t>СГС</w:t>
        </w:r>
      </w:hyperlink>
      <w:r>
        <w:rPr>
          <w:rFonts w:ascii="PT Astra Serif" w:hAnsi="PT Astra Serif" w:cs="PT Astra Serif"/>
          <w:sz w:val="26"/>
        </w:rPr>
        <w:t xml:space="preserve"> "Учетная политика");</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9) Федеральный </w:t>
      </w:r>
      <w:hyperlink r:id="rId29" w:tgtFrame="https://cloud.consultant.ru/cloud/cgi/online.cgi?req=doc&amp;amp;base=LAW&amp;amp;n=298372&amp;amp;fld=134&amp;amp;dst=100011&amp;amp;last=1">
        <w:r>
          <w:rPr>
            <w:rStyle w:val="af0"/>
            <w:rFonts w:ascii="PT Astra Serif" w:hAnsi="PT Astra Serif" w:cs="PT Astra Serif"/>
            <w:color w:val="auto"/>
            <w:sz w:val="26"/>
            <w:u w:val="none"/>
          </w:rPr>
          <w:t>стандарт</w:t>
        </w:r>
      </w:hyperlink>
      <w:r>
        <w:rPr>
          <w:rFonts w:ascii="PT Astra Serif" w:hAnsi="PT Astra Serif" w:cs="PT Astra Serif"/>
          <w:sz w:val="26"/>
        </w:rPr>
        <w:t xml:space="preserve"> бухгалтерского учета для организаций государственного сектора "События после отчетной даты", утвержденный Приказом Минфина России от 30.12.2017 № 275н (далее - </w:t>
      </w:r>
      <w:hyperlink r:id="rId30" w:tgtFrame="https://cloud.consultant.ru/cloud/cgi/online.cgi?req=doc&amp;amp;base=LAW&amp;amp;n=298372&amp;amp;fld=134&amp;amp;dst=100011&amp;amp;last=1">
        <w:r>
          <w:rPr>
            <w:rStyle w:val="af0"/>
            <w:rFonts w:ascii="PT Astra Serif" w:hAnsi="PT Astra Serif" w:cs="PT Astra Serif"/>
            <w:color w:val="auto"/>
            <w:sz w:val="26"/>
            <w:u w:val="none"/>
          </w:rPr>
          <w:t>СГС</w:t>
        </w:r>
      </w:hyperlink>
      <w:r>
        <w:rPr>
          <w:rFonts w:ascii="PT Astra Serif" w:hAnsi="PT Astra Serif" w:cs="PT Astra Serif"/>
          <w:sz w:val="26"/>
        </w:rPr>
        <w:t xml:space="preserve"> "События после отчетной даты");</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10) Федеральный </w:t>
      </w:r>
      <w:hyperlink r:id="rId31" w:tgtFrame="https://cloud.consultant.ru/cloud/cgi/online.cgi?req=doc&amp;amp;base=LAW&amp;amp;n=342876&amp;amp;fld=134&amp;amp;dst=100011&amp;amp;date=30.06.2020&amp;amp;last=1">
        <w:r>
          <w:rPr>
            <w:rStyle w:val="af0"/>
            <w:rFonts w:ascii="PT Astra Serif" w:hAnsi="PT Astra Serif" w:cs="PT Astra Serif"/>
            <w:color w:val="auto"/>
            <w:sz w:val="26"/>
            <w:u w:val="none"/>
          </w:rPr>
          <w:t>стандарт</w:t>
        </w:r>
      </w:hyperlink>
      <w:r>
        <w:rPr>
          <w:rFonts w:ascii="PT Astra Serif" w:hAnsi="PT Astra Serif" w:cs="PT Astra Serif"/>
          <w:sz w:val="26"/>
        </w:rPr>
        <w:t xml:space="preserve"> бухгалтерского учета для организаций государственного сектора "Информация о связанных сторонах", утвержденный Приказом Минфина России от 30.12.2017 № 277н (далее - </w:t>
      </w:r>
      <w:hyperlink r:id="rId32" w:tgtFrame="https://cloud.consultant.ru/cloud/cgi/online.cgi?req=doc&amp;amp;base=LAW&amp;amp;n=342876&amp;amp;fld=134&amp;amp;dst=100011&amp;amp;date=30.06.2020&amp;amp;last=1">
        <w:r>
          <w:rPr>
            <w:rStyle w:val="af0"/>
            <w:rFonts w:ascii="PT Astra Serif" w:hAnsi="PT Astra Serif" w:cs="PT Astra Serif"/>
            <w:color w:val="auto"/>
            <w:sz w:val="26"/>
            <w:u w:val="none"/>
          </w:rPr>
          <w:t>СГС</w:t>
        </w:r>
      </w:hyperlink>
      <w:r>
        <w:rPr>
          <w:rFonts w:ascii="PT Astra Serif" w:hAnsi="PT Astra Serif" w:cs="PT Astra Serif"/>
          <w:sz w:val="26"/>
        </w:rPr>
        <w:t xml:space="preserve"> "Информация о связанных сторонах");</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11) Федеральный </w:t>
      </w:r>
      <w:hyperlink r:id="rId33" w:tgtFrame="https://cloud.consultant.ru/cloud/cgi/online.cgi?req=doc&amp;amp;base=LAW&amp;amp;n=294182&amp;amp;fld=134&amp;amp;dst=100011&amp;amp;last=1">
        <w:r>
          <w:rPr>
            <w:rStyle w:val="af0"/>
            <w:rFonts w:ascii="PT Astra Serif" w:hAnsi="PT Astra Serif" w:cs="PT Astra Serif"/>
            <w:color w:val="auto"/>
            <w:sz w:val="26"/>
            <w:u w:val="none"/>
          </w:rPr>
          <w:t>стандарт</w:t>
        </w:r>
      </w:hyperlink>
      <w:r>
        <w:rPr>
          <w:rFonts w:ascii="PT Astra Serif" w:hAnsi="PT Astra Serif" w:cs="PT Astra Serif"/>
          <w:sz w:val="26"/>
        </w:rPr>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w:t>
      </w:r>
      <w:hyperlink r:id="rId34" w:tgtFrame="https://cloud.consultant.ru/cloud/cgi/online.cgi?req=doc&amp;amp;base=LAW&amp;amp;n=294182&amp;amp;fld=134&amp;amp;dst=100011&amp;amp;last=1">
        <w:r>
          <w:rPr>
            <w:rStyle w:val="af0"/>
            <w:rFonts w:ascii="PT Astra Serif" w:hAnsi="PT Astra Serif" w:cs="PT Astra Serif"/>
            <w:color w:val="auto"/>
            <w:sz w:val="26"/>
            <w:u w:val="none"/>
          </w:rPr>
          <w:t>СГС</w:t>
        </w:r>
      </w:hyperlink>
      <w:r>
        <w:rPr>
          <w:rFonts w:ascii="PT Astra Serif" w:hAnsi="PT Astra Serif" w:cs="PT Astra Serif"/>
          <w:sz w:val="26"/>
        </w:rPr>
        <w:t xml:space="preserve"> "Отчет о движении денежных средств");</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12) Федеральный </w:t>
      </w:r>
      <w:hyperlink r:id="rId35" w:tgtFrame="https://cloud.consultant.ru/cloud/cgi/online.cgi?req=doc&amp;amp;base=LAW&amp;amp;n=298348&amp;amp;fld=134&amp;amp;dst=100011&amp;amp;last=1">
        <w:r>
          <w:rPr>
            <w:rStyle w:val="af0"/>
            <w:rFonts w:ascii="PT Astra Serif" w:hAnsi="PT Astra Serif" w:cs="PT Astra Serif"/>
            <w:color w:val="auto"/>
            <w:sz w:val="26"/>
            <w:u w:val="none"/>
          </w:rPr>
          <w:t>стандарт</w:t>
        </w:r>
      </w:hyperlink>
      <w:r>
        <w:rPr>
          <w:rFonts w:ascii="PT Astra Serif" w:hAnsi="PT Astra Serif" w:cs="PT Astra Serif"/>
          <w:sz w:val="26"/>
        </w:rPr>
        <w:t xml:space="preserve"> бухгалтерского учета для организаций государственного сектора "Доходы", утвержденный Приказом Минфина России от 27.02.2018 № 32н (далее - </w:t>
      </w:r>
      <w:hyperlink r:id="rId36" w:tgtFrame="https://cloud.consultant.ru/cloud/cgi/online.cgi?req=doc&amp;amp;base=LAW&amp;amp;n=298348&amp;amp;fld=134&amp;amp;dst=100011&amp;amp;last=1">
        <w:r>
          <w:rPr>
            <w:rStyle w:val="af0"/>
            <w:rFonts w:ascii="PT Astra Serif" w:hAnsi="PT Astra Serif" w:cs="PT Astra Serif"/>
            <w:color w:val="auto"/>
            <w:sz w:val="26"/>
            <w:u w:val="none"/>
          </w:rPr>
          <w:t>СГС</w:t>
        </w:r>
      </w:hyperlink>
      <w:r>
        <w:rPr>
          <w:rFonts w:ascii="PT Astra Serif" w:hAnsi="PT Astra Serif" w:cs="PT Astra Serif"/>
          <w:sz w:val="26"/>
        </w:rPr>
        <w:t xml:space="preserve"> "Доходы");</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lastRenderedPageBreak/>
        <w:t xml:space="preserve">13) Федеральный </w:t>
      </w:r>
      <w:hyperlink r:id="rId37" w:tgtFrame="https://cloud.consultant.ru/cloud/cgi/online.cgi?req=doc&amp;amp;base=LAW&amp;amp;n=343267&amp;amp;fld=134&amp;amp;dst=100011&amp;amp;date=30.06.2020&amp;amp;last=1">
        <w:r>
          <w:rPr>
            <w:rStyle w:val="af0"/>
            <w:rFonts w:ascii="PT Astra Serif" w:hAnsi="PT Astra Serif" w:cs="PT Astra Serif"/>
            <w:color w:val="auto"/>
            <w:sz w:val="26"/>
            <w:u w:val="none"/>
          </w:rPr>
          <w:t>стандарт</w:t>
        </w:r>
      </w:hyperlink>
      <w:r>
        <w:rPr>
          <w:rFonts w:ascii="PT Astra Serif" w:hAnsi="PT Astra Serif" w:cs="PT Astra Serif"/>
          <w:sz w:val="26"/>
        </w:rPr>
        <w:t xml:space="preserve"> бухгалтерского учета для организаций государственного сектора "Непроизведенные активы", утвержденный Приказом Минфина России от 28.02.2018 № 34н (далее - </w:t>
      </w:r>
      <w:hyperlink r:id="rId38" w:tgtFrame="https://cloud.consultant.ru/cloud/cgi/online.cgi?req=doc&amp;amp;base=LAW&amp;amp;n=343267&amp;amp;fld=134&amp;amp;dst=100011&amp;amp;date=30.06.2020&amp;amp;last=1">
        <w:r>
          <w:rPr>
            <w:rStyle w:val="af0"/>
            <w:rFonts w:ascii="PT Astra Serif" w:hAnsi="PT Astra Serif" w:cs="PT Astra Serif"/>
            <w:color w:val="auto"/>
            <w:sz w:val="26"/>
            <w:u w:val="none"/>
          </w:rPr>
          <w:t>СГС</w:t>
        </w:r>
      </w:hyperlink>
      <w:r>
        <w:rPr>
          <w:rFonts w:ascii="PT Astra Serif" w:hAnsi="PT Astra Serif" w:cs="PT Astra Serif"/>
          <w:sz w:val="26"/>
        </w:rPr>
        <w:t xml:space="preserve"> "Непроизведенные активы");</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14) Федеральный </w:t>
      </w:r>
      <w:hyperlink r:id="rId39" w:tgtFrame="https://cloud.consultant.ru/cloud/cgi/online.cgi?req=doc&amp;amp;base=LAW&amp;amp;n=298707&amp;amp;fld=134&amp;amp;dst=100011&amp;amp;date=02.10.2019&amp;amp;last=1">
        <w:r>
          <w:rPr>
            <w:rStyle w:val="af0"/>
            <w:rFonts w:ascii="PT Astra Serif" w:hAnsi="PT Astra Serif" w:cs="PT Astra Serif"/>
            <w:color w:val="auto"/>
            <w:sz w:val="26"/>
            <w:u w:val="none"/>
          </w:rPr>
          <w:t>стандарт</w:t>
        </w:r>
      </w:hyperlink>
      <w:r>
        <w:rPr>
          <w:rFonts w:ascii="PT Astra Serif" w:hAnsi="PT Astra Serif" w:cs="PT Astra Serif"/>
          <w:sz w:val="26"/>
        </w:rPr>
        <w:t xml:space="preserve"> бухгалтерского учета для организаций государственного сектора "Бюджетная информация в бухгалтерской (финансовой) отчетности", утвержденный Приказом Минфина России от 28.02.2018 № 37н (далее - </w:t>
      </w:r>
      <w:hyperlink r:id="rId40" w:tgtFrame="https://cloud.consultant.ru/cloud/cgi/online.cgi?req=doc&amp;amp;base=LAW&amp;amp;n=298707&amp;amp;fld=134&amp;amp;dst=100011&amp;amp;date=02.10.2019&amp;amp;last=1">
        <w:r>
          <w:rPr>
            <w:rStyle w:val="af0"/>
            <w:rFonts w:ascii="PT Astra Serif" w:hAnsi="PT Astra Serif" w:cs="PT Astra Serif"/>
            <w:color w:val="auto"/>
            <w:sz w:val="26"/>
            <w:u w:val="none"/>
          </w:rPr>
          <w:t>СГС</w:t>
        </w:r>
      </w:hyperlink>
      <w:r>
        <w:rPr>
          <w:rFonts w:ascii="PT Astra Serif" w:hAnsi="PT Astra Serif" w:cs="PT Astra Serif"/>
          <w:sz w:val="26"/>
        </w:rPr>
        <w:t xml:space="preserve"> "Бюджетная информация в бухгалтерской (финансовой) отчетности");</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15) Федеральный </w:t>
      </w:r>
      <w:hyperlink r:id="rId41" w:tgtFrame="https://cloud.consultant.ru/cloud/cgi/online.cgi?req=doc&amp;amp;base=LAW&amp;amp;n=301463&amp;amp;fld=134&amp;amp;dst=100011&amp;amp;last=1">
        <w:r>
          <w:rPr>
            <w:rStyle w:val="af0"/>
            <w:rFonts w:ascii="PT Astra Serif" w:hAnsi="PT Astra Serif" w:cs="PT Astra Serif"/>
            <w:color w:val="auto"/>
            <w:sz w:val="26"/>
            <w:u w:val="none"/>
          </w:rPr>
          <w:t>стандарт</w:t>
        </w:r>
      </w:hyperlink>
      <w:r>
        <w:rPr>
          <w:rFonts w:ascii="PT Astra Serif" w:hAnsi="PT Astra Serif" w:cs="PT Astra Serif"/>
          <w:sz w:val="26"/>
        </w:rPr>
        <w:t xml:space="preserve">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 122н (далее - </w:t>
      </w:r>
      <w:hyperlink r:id="rId42" w:tgtFrame="https://cloud.consultant.ru/cloud/cgi/online.cgi?req=doc&amp;amp;base=LAW&amp;amp;n=301463&amp;amp;fld=134&amp;amp;dst=100011&amp;amp;last=1">
        <w:r>
          <w:rPr>
            <w:rStyle w:val="af0"/>
            <w:rFonts w:ascii="PT Astra Serif" w:hAnsi="PT Astra Serif" w:cs="PT Astra Serif"/>
            <w:color w:val="auto"/>
            <w:sz w:val="26"/>
            <w:u w:val="none"/>
          </w:rPr>
          <w:t>СГС</w:t>
        </w:r>
      </w:hyperlink>
      <w:r>
        <w:rPr>
          <w:rFonts w:ascii="PT Astra Serif" w:hAnsi="PT Astra Serif" w:cs="PT Astra Serif"/>
          <w:sz w:val="26"/>
        </w:rPr>
        <w:t xml:space="preserve"> "Влияние изменений курсов иностранных валют");</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16) Федеральный </w:t>
      </w:r>
      <w:hyperlink r:id="rId43" w:tgtFrame="https://cloud.consultant.ru/cloud/cgi/online.cgi?req=doc&amp;amp;base=LAW&amp;amp;n=301464&amp;amp;fld=134&amp;amp;dst=100011&amp;amp;date=02.10.2019&amp;amp;last=1">
        <w:r>
          <w:rPr>
            <w:rStyle w:val="af0"/>
            <w:rFonts w:ascii="PT Astra Serif" w:hAnsi="PT Astra Serif" w:cs="PT Astra Serif"/>
            <w:color w:val="auto"/>
            <w:sz w:val="26"/>
            <w:u w:val="none"/>
          </w:rPr>
          <w:t>стандарт</w:t>
        </w:r>
      </w:hyperlink>
      <w:r>
        <w:rPr>
          <w:rFonts w:ascii="PT Astra Serif" w:hAnsi="PT Astra Serif" w:cs="PT Astra Serif"/>
          <w:sz w:val="26"/>
        </w:rPr>
        <w:t xml:space="preserve">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 124н (далее - </w:t>
      </w:r>
      <w:hyperlink r:id="rId44" w:tgtFrame="https://cloud.consultant.ru/cloud/cgi/online.cgi?req=doc&amp;amp;base=LAW&amp;amp;n=301464&amp;amp;fld=134&amp;amp;dst=100011&amp;amp;date=02.10.2019&amp;amp;last=1">
        <w:r>
          <w:rPr>
            <w:rStyle w:val="af0"/>
            <w:rFonts w:ascii="PT Astra Serif" w:hAnsi="PT Astra Serif" w:cs="PT Astra Serif"/>
            <w:color w:val="auto"/>
            <w:sz w:val="26"/>
            <w:u w:val="none"/>
          </w:rPr>
          <w:t>СГС</w:t>
        </w:r>
      </w:hyperlink>
      <w:r>
        <w:rPr>
          <w:rFonts w:ascii="PT Astra Serif" w:hAnsi="PT Astra Serif" w:cs="PT Astra Serif"/>
          <w:sz w:val="26"/>
        </w:rPr>
        <w:t xml:space="preserve"> "Резервы");</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17) Федеральный </w:t>
      </w:r>
      <w:hyperlink r:id="rId45" w:tgtFrame="https://cloud.consultant.ru/cloud/cgi/online.cgi?req=doc&amp;amp;base=LAW&amp;amp;n=306709&amp;amp;fld=134&amp;amp;dst=100011&amp;amp;date=02.10.2019&amp;amp;last=1">
        <w:r>
          <w:rPr>
            <w:rStyle w:val="af0"/>
            <w:rFonts w:ascii="PT Astra Serif" w:hAnsi="PT Astra Serif" w:cs="PT Astra Serif"/>
            <w:color w:val="auto"/>
            <w:sz w:val="26"/>
            <w:u w:val="none"/>
          </w:rPr>
          <w:t>стандарт</w:t>
        </w:r>
      </w:hyperlink>
      <w:r>
        <w:rPr>
          <w:rFonts w:ascii="PT Astra Serif" w:hAnsi="PT Astra Serif" w:cs="PT Astra Serif"/>
          <w:sz w:val="26"/>
        </w:rPr>
        <w:t xml:space="preserve"> бухгалтерского учета для организаций государственного сектора "Долгосрочные договоры", утвержденный Приказом Минфина России от 29.06.2018 № 145н (далее - </w:t>
      </w:r>
      <w:hyperlink r:id="rId46" w:tgtFrame="https://cloud.consultant.ru/cloud/cgi/online.cgi?req=doc&amp;amp;base=LAW&amp;amp;n=306709&amp;amp;fld=134&amp;amp;dst=100011&amp;amp;date=02.10.2019&amp;amp;last=1">
        <w:r>
          <w:rPr>
            <w:rStyle w:val="af0"/>
            <w:rFonts w:ascii="PT Astra Serif" w:hAnsi="PT Astra Serif" w:cs="PT Astra Serif"/>
            <w:color w:val="auto"/>
            <w:sz w:val="26"/>
            <w:u w:val="none"/>
          </w:rPr>
          <w:t>СГС</w:t>
        </w:r>
      </w:hyperlink>
      <w:r>
        <w:rPr>
          <w:rFonts w:ascii="PT Astra Serif" w:hAnsi="PT Astra Serif" w:cs="PT Astra Serif"/>
          <w:sz w:val="26"/>
        </w:rPr>
        <w:t xml:space="preserve"> "Долгосрочные договоры");</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18) Федеральный </w:t>
      </w:r>
      <w:hyperlink r:id="rId47" w:tgtFrame="https://cloud.consultant.ru/cloud/cgi/online.cgi?req=doc&amp;amp;base=LAW&amp;amp;n=303241&amp;amp;fld=134&amp;amp;dst=100011&amp;amp;date=02.10.2019&amp;amp;last=1">
        <w:r>
          <w:rPr>
            <w:rStyle w:val="af0"/>
            <w:rFonts w:ascii="PT Astra Serif" w:hAnsi="PT Astra Serif" w:cs="PT Astra Serif"/>
            <w:color w:val="auto"/>
            <w:sz w:val="26"/>
            <w:u w:val="none"/>
          </w:rPr>
          <w:t>стандарт</w:t>
        </w:r>
      </w:hyperlink>
      <w:r>
        <w:rPr>
          <w:rFonts w:ascii="PT Astra Serif" w:hAnsi="PT Astra Serif" w:cs="PT Astra Serif"/>
          <w:sz w:val="26"/>
        </w:rPr>
        <w:t xml:space="preserve"> бухгалтерского учета для организаций государственного сектора "Концессионные соглашения", утвержденный Приказом Минфина России от 29.06.2018 № 146н (далее - </w:t>
      </w:r>
      <w:hyperlink r:id="rId48" w:tgtFrame="https://cloud.consultant.ru/cloud/cgi/online.cgi?req=doc&amp;amp;base=LAW&amp;amp;n=303241&amp;amp;fld=134&amp;amp;dst=100011&amp;amp;date=02.10.2019&amp;amp;last=1">
        <w:r>
          <w:rPr>
            <w:rStyle w:val="af0"/>
            <w:rFonts w:ascii="PT Astra Serif" w:hAnsi="PT Astra Serif" w:cs="PT Astra Serif"/>
            <w:color w:val="auto"/>
            <w:sz w:val="26"/>
            <w:u w:val="none"/>
          </w:rPr>
          <w:t>СГС</w:t>
        </w:r>
      </w:hyperlink>
      <w:r>
        <w:rPr>
          <w:rFonts w:ascii="PT Astra Serif" w:hAnsi="PT Astra Serif" w:cs="PT Astra Serif"/>
          <w:sz w:val="26"/>
        </w:rPr>
        <w:t xml:space="preserve"> "Концессионные соглашения");</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19) Федеральный </w:t>
      </w:r>
      <w:hyperlink r:id="rId49" w:tgtFrame="https://cloud.consultant.ru/cloud/cgi/online.cgi?req=doc&amp;amp;base=LAW&amp;amp;n=315851&amp;amp;fld=134&amp;amp;dst=100011&amp;amp;date=02.10.2019&amp;amp;last=1">
        <w:r>
          <w:rPr>
            <w:rStyle w:val="af0"/>
            <w:rFonts w:ascii="PT Astra Serif" w:hAnsi="PT Astra Serif" w:cs="PT Astra Serif"/>
            <w:color w:val="auto"/>
            <w:sz w:val="26"/>
            <w:u w:val="none"/>
          </w:rPr>
          <w:t>стандарт</w:t>
        </w:r>
      </w:hyperlink>
      <w:r>
        <w:rPr>
          <w:rFonts w:ascii="PT Astra Serif" w:hAnsi="PT Astra Serif" w:cs="PT Astra Serif"/>
          <w:sz w:val="26"/>
        </w:rPr>
        <w:t xml:space="preserve"> бухгалтерского учета для организаций государственного сектора "Запасы", утвержденный Приказом Минфина России от 07.12.2018 № 256н (далее - </w:t>
      </w:r>
      <w:hyperlink r:id="rId50" w:tgtFrame="https://cloud.consultant.ru/cloud/cgi/online.cgi?req=doc&amp;amp;base=LAW&amp;amp;n=315851&amp;amp;fld=134&amp;amp;dst=100011&amp;amp;date=02.10.2019&amp;amp;last=1">
        <w:r>
          <w:rPr>
            <w:rStyle w:val="af0"/>
            <w:rFonts w:ascii="PT Astra Serif" w:hAnsi="PT Astra Serif" w:cs="PT Astra Serif"/>
            <w:color w:val="auto"/>
            <w:sz w:val="26"/>
            <w:u w:val="none"/>
          </w:rPr>
          <w:t>СГС</w:t>
        </w:r>
      </w:hyperlink>
      <w:r>
        <w:rPr>
          <w:rFonts w:ascii="PT Astra Serif" w:hAnsi="PT Astra Serif" w:cs="PT Astra Serif"/>
          <w:sz w:val="26"/>
        </w:rPr>
        <w:t xml:space="preserve"> "Запасы");</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20) Федеральный </w:t>
      </w:r>
      <w:hyperlink r:id="rId51" w:tgtFrame="https://cloud.consultant.ru/cloud/cgi/online.cgi?req=doc&amp;amp;base=LAW&amp;amp;n=343973&amp;amp;fld=134&amp;amp;dst=100011&amp;amp;date=31.08.2021&amp;amp;last=1">
        <w:r>
          <w:rPr>
            <w:rStyle w:val="af0"/>
            <w:rFonts w:ascii="PT Astra Serif" w:hAnsi="PT Astra Serif" w:cs="PT Astra Serif"/>
            <w:color w:val="auto"/>
            <w:sz w:val="26"/>
            <w:u w:val="none"/>
          </w:rPr>
          <w:t>стандарт</w:t>
        </w:r>
      </w:hyperlink>
      <w:r>
        <w:rPr>
          <w:rFonts w:ascii="PT Astra Serif" w:hAnsi="PT Astra Serif" w:cs="PT Astra Serif"/>
          <w:sz w:val="26"/>
        </w:rPr>
        <w:t xml:space="preserve"> бухгалтерского учета для организаций государственного сектора "Бухгалтерская (финансовая) отчетность с учетом инфляции", утвержденный Приказом Минфина России от 29.12.2018 № 305н (далее - </w:t>
      </w:r>
      <w:hyperlink r:id="rId52" w:tgtFrame="https://cloud.consultant.ru/cloud/cgi/online.cgi?req=doc&amp;amp;base=LAW&amp;amp;n=343973&amp;amp;fld=134&amp;amp;dst=100011&amp;amp;date=31.08.2021&amp;amp;last=1">
        <w:r>
          <w:rPr>
            <w:rStyle w:val="af0"/>
            <w:rFonts w:ascii="PT Astra Serif" w:hAnsi="PT Astra Serif" w:cs="PT Astra Serif"/>
            <w:color w:val="auto"/>
            <w:sz w:val="26"/>
            <w:u w:val="none"/>
          </w:rPr>
          <w:t>СГС</w:t>
        </w:r>
      </w:hyperlink>
      <w:r>
        <w:rPr>
          <w:rFonts w:ascii="PT Astra Serif" w:hAnsi="PT Astra Serif" w:cs="PT Astra Serif"/>
          <w:sz w:val="26"/>
        </w:rPr>
        <w:t xml:space="preserve"> "Бухгалтерская (финансовая) отчетность с учетом инфляции");</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21) Федеральный </w:t>
      </w:r>
      <w:hyperlink r:id="rId53" w:tgtFrame="https://cloud.consultant.ru/cloud/cgi/online.cgi?req=doc&amp;amp;base=LAW&amp;amp;n=339419&amp;amp;fld=134&amp;amp;dst=100012&amp;amp;date=06.07.2020&amp;amp;last=1">
        <w:r>
          <w:rPr>
            <w:rStyle w:val="af0"/>
            <w:rFonts w:ascii="PT Astra Serif" w:hAnsi="PT Astra Serif" w:cs="PT Astra Serif"/>
            <w:color w:val="auto"/>
            <w:sz w:val="26"/>
            <w:u w:val="none"/>
          </w:rPr>
          <w:t>стандарт</w:t>
        </w:r>
      </w:hyperlink>
      <w:r>
        <w:rPr>
          <w:rFonts w:ascii="PT Astra Serif" w:hAnsi="PT Astra Serif" w:cs="PT Astra Serif"/>
          <w:sz w:val="26"/>
        </w:rPr>
        <w:t xml:space="preserve"> бухгалтерского учета государственных финансов "Нематериальные активы", утвержденный Приказом Минфина России от 15.11.2019 № 181н (далее - </w:t>
      </w:r>
      <w:hyperlink r:id="rId54" w:tgtFrame="https://cloud.consultant.ru/cloud/cgi/online.cgi?req=doc&amp;amp;base=LAW&amp;amp;n=339419&amp;amp;fld=134&amp;amp;dst=100012&amp;amp;date=06.07.2020&amp;amp;last=1">
        <w:r>
          <w:rPr>
            <w:rStyle w:val="af0"/>
            <w:rFonts w:ascii="PT Astra Serif" w:hAnsi="PT Astra Serif" w:cs="PT Astra Serif"/>
            <w:color w:val="auto"/>
            <w:sz w:val="26"/>
            <w:u w:val="none"/>
          </w:rPr>
          <w:t>СГС</w:t>
        </w:r>
      </w:hyperlink>
      <w:r>
        <w:rPr>
          <w:rFonts w:ascii="PT Astra Serif" w:hAnsi="PT Astra Serif" w:cs="PT Astra Serif"/>
          <w:sz w:val="26"/>
        </w:rPr>
        <w:t xml:space="preserve"> "Нематериальные активы");</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22) Федеральный </w:t>
      </w:r>
      <w:hyperlink r:id="rId55" w:tgtFrame="https://cloud.consultant.ru/cloud/cgi/online.cgi?req=doc&amp;amp;base=LAW&amp;amp;n=339804&amp;amp;fld=134&amp;amp;dst=100012&amp;amp;date=06.07.2020&amp;amp;last=1">
        <w:r>
          <w:rPr>
            <w:rStyle w:val="af0"/>
            <w:rFonts w:ascii="PT Astra Serif" w:hAnsi="PT Astra Serif" w:cs="PT Astra Serif"/>
            <w:color w:val="auto"/>
            <w:sz w:val="26"/>
            <w:u w:val="none"/>
          </w:rPr>
          <w:t>стандарт</w:t>
        </w:r>
      </w:hyperlink>
      <w:r>
        <w:rPr>
          <w:rFonts w:ascii="PT Astra Serif" w:hAnsi="PT Astra Serif" w:cs="PT Astra Serif"/>
          <w:sz w:val="26"/>
        </w:rPr>
        <w:t xml:space="preserve"> бухгалтерского учета государственных финансов "Выплаты персоналу", утвержденный Приказом Минфина России от 15.11.2019 № 184н (далее - </w:t>
      </w:r>
      <w:hyperlink r:id="rId56" w:tgtFrame="https://cloud.consultant.ru/cloud/cgi/online.cgi?req=doc&amp;amp;base=LAW&amp;amp;n=339804&amp;amp;fld=134&amp;amp;dst=100012&amp;amp;date=06.07.2020&amp;amp;last=1">
        <w:r>
          <w:rPr>
            <w:rStyle w:val="af0"/>
            <w:rFonts w:ascii="PT Astra Serif" w:hAnsi="PT Astra Serif" w:cs="PT Astra Serif"/>
            <w:color w:val="auto"/>
            <w:sz w:val="26"/>
            <w:u w:val="none"/>
          </w:rPr>
          <w:t>СГС</w:t>
        </w:r>
      </w:hyperlink>
      <w:r>
        <w:rPr>
          <w:rFonts w:ascii="PT Astra Serif" w:hAnsi="PT Astra Serif" w:cs="PT Astra Serif"/>
          <w:sz w:val="26"/>
        </w:rPr>
        <w:t xml:space="preserve"> "Выплаты персоналу");</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23) Федеральный </w:t>
      </w:r>
      <w:hyperlink r:id="rId57" w:tgtFrame="https://cloud.consultant.ru/cloud/cgi/online.cgi?req=doc&amp;amp;base=LAW&amp;amp;n=363015&amp;amp;fld=134&amp;amp;dst=100011&amp;amp;date=20.11.2020&amp;amp;last=1">
        <w:r>
          <w:rPr>
            <w:rStyle w:val="af0"/>
            <w:rFonts w:ascii="PT Astra Serif" w:hAnsi="PT Astra Serif" w:cs="PT Astra Serif"/>
            <w:color w:val="auto"/>
            <w:sz w:val="26"/>
            <w:u w:val="none"/>
          </w:rPr>
          <w:t>стандарт</w:t>
        </w:r>
      </w:hyperlink>
      <w:r>
        <w:rPr>
          <w:rFonts w:ascii="PT Astra Serif" w:hAnsi="PT Astra Serif" w:cs="PT Astra Serif"/>
          <w:sz w:val="26"/>
        </w:rPr>
        <w:t xml:space="preserve"> бухгалтерского учета государственных финансов "Финансовые инструменты", утвержденный Приказом Минфина России от 30.06.2020 № 129н (далее - </w:t>
      </w:r>
      <w:hyperlink r:id="rId58" w:tgtFrame="https://cloud.consultant.ru/cloud/cgi/online.cgi?req=doc&amp;amp;base=LAW&amp;amp;n=363015&amp;amp;fld=134&amp;amp;dst=100011&amp;amp;date=20.11.2020&amp;amp;last=1">
        <w:r>
          <w:rPr>
            <w:rStyle w:val="af0"/>
            <w:rFonts w:ascii="PT Astra Serif" w:hAnsi="PT Astra Serif" w:cs="PT Astra Serif"/>
            <w:color w:val="auto"/>
            <w:sz w:val="26"/>
            <w:u w:val="none"/>
          </w:rPr>
          <w:t>СГС</w:t>
        </w:r>
      </w:hyperlink>
      <w:r>
        <w:rPr>
          <w:rFonts w:ascii="PT Astra Serif" w:hAnsi="PT Astra Serif" w:cs="PT Astra Serif"/>
          <w:sz w:val="26"/>
        </w:rPr>
        <w:t xml:space="preserve"> "Финансовые инструменты");</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24) Федеральный </w:t>
      </w:r>
      <w:hyperlink r:id="rId59" w:tgtFrame="https://cloud.consultant.ru/cloud/cgi/online.cgi?req=doc&amp;amp;base=LAW&amp;amp;n=367737&amp;amp;fld=134&amp;amp;dst=100012&amp;amp;date=31.08.2021&amp;amp;last=1">
        <w:r>
          <w:rPr>
            <w:rStyle w:val="af0"/>
            <w:rFonts w:ascii="PT Astra Serif" w:hAnsi="PT Astra Serif" w:cs="PT Astra Serif"/>
            <w:color w:val="auto"/>
            <w:sz w:val="26"/>
            <w:u w:val="none"/>
          </w:rPr>
          <w:t>стандарт</w:t>
        </w:r>
      </w:hyperlink>
      <w:r>
        <w:rPr>
          <w:rFonts w:ascii="PT Astra Serif" w:hAnsi="PT Astra Serif" w:cs="PT Astra Serif"/>
          <w:sz w:val="26"/>
        </w:rPr>
        <w:t xml:space="preserve"> бухгалтерского учета государственных финансов "Метод долевого участия", утвержденный Приказом Минфина России от 30.10.2020 № 254н (далее </w:t>
      </w:r>
      <w:hyperlink r:id="rId60" w:tgtFrame="https://cloud.consultant.ru/cloud/cgi/online.cgi?req=doc&amp;amp;base=LAW&amp;amp;n=367737&amp;amp;fld=134&amp;amp;dst=100012&amp;amp;date=31.08.2021&amp;amp;last=1">
        <w:r>
          <w:rPr>
            <w:rStyle w:val="af0"/>
            <w:rFonts w:ascii="PT Astra Serif" w:hAnsi="PT Astra Serif" w:cs="PT Astra Serif"/>
            <w:color w:val="auto"/>
            <w:sz w:val="26"/>
            <w:u w:val="none"/>
          </w:rPr>
          <w:t>СГС</w:t>
        </w:r>
      </w:hyperlink>
      <w:r>
        <w:rPr>
          <w:rFonts w:ascii="PT Astra Serif" w:hAnsi="PT Astra Serif" w:cs="PT Astra Serif"/>
          <w:sz w:val="26"/>
        </w:rPr>
        <w:t xml:space="preserve"> "Метод долевого участия");</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25) Федеральный </w:t>
      </w:r>
      <w:hyperlink r:id="rId61" w:tgtFrame="https://cloud.consultant.ru/cloud/cgi/online.cgi?req=doc&amp;amp;base=LAW&amp;amp;n=390430&amp;amp;fld=134&amp;amp;dst=100011&amp;amp;date=25.08.2022&amp;amp;last=1">
        <w:r>
          <w:rPr>
            <w:rStyle w:val="af0"/>
            <w:rFonts w:ascii="PT Astra Serif" w:hAnsi="PT Astra Serif" w:cs="PT Astra Serif"/>
            <w:color w:val="auto"/>
            <w:sz w:val="26"/>
            <w:u w:val="none"/>
          </w:rPr>
          <w:t>стандарт</w:t>
        </w:r>
      </w:hyperlink>
      <w:r>
        <w:rPr>
          <w:rFonts w:ascii="PT Astra Serif" w:hAnsi="PT Astra Serif" w:cs="PT Astra Serif"/>
          <w:sz w:val="26"/>
        </w:rPr>
        <w:t xml:space="preserve"> бухгалтерского учета государственных финансов "Государственная (муниципальная) казна", утвержденный Приказом Минфина России от 15.06.2021 № 84н (далее - </w:t>
      </w:r>
      <w:hyperlink r:id="rId62" w:tgtFrame="https://cloud.consultant.ru/cloud/cgi/online.cgi?req=doc&amp;amp;base=LAW&amp;amp;n=390430&amp;amp;fld=134&amp;amp;dst=100011&amp;amp;date=25.08.2022&amp;amp;last=1">
        <w:r>
          <w:rPr>
            <w:rStyle w:val="af0"/>
            <w:rFonts w:ascii="PT Astra Serif" w:hAnsi="PT Astra Serif" w:cs="PT Astra Serif"/>
            <w:color w:val="auto"/>
            <w:sz w:val="26"/>
            <w:u w:val="none"/>
          </w:rPr>
          <w:t>СГС</w:t>
        </w:r>
      </w:hyperlink>
      <w:r>
        <w:rPr>
          <w:rFonts w:ascii="PT Astra Serif" w:hAnsi="PT Astra Serif" w:cs="PT Astra Serif"/>
          <w:sz w:val="26"/>
        </w:rPr>
        <w:t xml:space="preserve"> "Государственная (муниципальная) казна");</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26) Федеральный </w:t>
      </w:r>
      <w:hyperlink r:id="rId63" w:tgtFrame="https://cloud.consultant.ru/cloud/cgi/online.cgi?req=doc&amp;amp;base=LAW&amp;amp;n=486219&amp;amp;fld=134&amp;amp;dst=100012&amp;amp;date=31.07.2025&amp;amp;last=1">
        <w:r>
          <w:rPr>
            <w:rStyle w:val="af0"/>
            <w:rFonts w:ascii="PT Astra Serif" w:hAnsi="PT Astra Serif" w:cs="PT Astra Serif"/>
            <w:color w:val="auto"/>
            <w:sz w:val="26"/>
            <w:u w:val="none"/>
          </w:rPr>
          <w:t>стандарт</w:t>
        </w:r>
      </w:hyperlink>
      <w:r>
        <w:rPr>
          <w:rFonts w:ascii="PT Astra Serif" w:hAnsi="PT Astra Serif" w:cs="PT Astra Serif"/>
          <w:sz w:val="26"/>
        </w:rPr>
        <w:t xml:space="preserve"> бухгалтерского учета государственных финансов "Единый план счетов бухгалтерского учета государственных финансов", утвержденный Приказом Минфина России от 30.08.2024 № 121н (далее - </w:t>
      </w:r>
      <w:hyperlink r:id="rId64" w:tgtFrame="https://cloud.consultant.ru/cloud/cgi/online.cgi?req=doc&amp;amp;base=LAW&amp;amp;n=486219&amp;amp;fld=134&amp;amp;dst=100012&amp;amp;date=31.07.2025&amp;amp;last=1">
        <w:r>
          <w:rPr>
            <w:rStyle w:val="af0"/>
            <w:rFonts w:ascii="PT Astra Serif" w:hAnsi="PT Astra Serif" w:cs="PT Astra Serif"/>
            <w:color w:val="auto"/>
            <w:sz w:val="26"/>
            <w:u w:val="none"/>
          </w:rPr>
          <w:t>Стандарт</w:t>
        </w:r>
      </w:hyperlink>
      <w:r>
        <w:rPr>
          <w:rFonts w:ascii="PT Astra Serif" w:hAnsi="PT Astra Serif" w:cs="PT Astra Serif"/>
          <w:sz w:val="26"/>
        </w:rPr>
        <w:t xml:space="preserve"> "Единый план счетов");</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27) Федеральный </w:t>
      </w:r>
      <w:hyperlink r:id="rId65" w:tgtFrame="https://cloud.consultant.ru/cloud/cgi/online.cgi?req=doc&amp;amp;base=LAW&amp;amp;n=492985&amp;amp;fld=134&amp;amp;dst=100011&amp;amp;date=31.07.2025&amp;amp;last=1">
        <w:r>
          <w:rPr>
            <w:rStyle w:val="af0"/>
            <w:rFonts w:ascii="PT Astra Serif" w:hAnsi="PT Astra Serif" w:cs="PT Astra Serif"/>
            <w:color w:val="auto"/>
            <w:sz w:val="26"/>
            <w:u w:val="none"/>
          </w:rPr>
          <w:t>стандарт</w:t>
        </w:r>
      </w:hyperlink>
      <w:r>
        <w:rPr>
          <w:rFonts w:ascii="PT Astra Serif" w:hAnsi="PT Astra Serif" w:cs="PT Astra Serif"/>
          <w:sz w:val="26"/>
        </w:rPr>
        <w:t xml:space="preserve"> бухгалтерского учета государственных финансов "План счетов бюджетного учета", утвержденный Приказом Минфина России от 20.09.2024 № 132н (далее  </w:t>
      </w:r>
      <w:hyperlink r:id="rId66" w:tgtFrame="https://cloud.consultant.ru/cloud/cgi/online.cgi?req=doc&amp;amp;base=LAW&amp;amp;n=492985&amp;amp;fld=134&amp;amp;dst=100011&amp;amp;date=31.07.2025&amp;amp;last=1">
        <w:r>
          <w:rPr>
            <w:rStyle w:val="af0"/>
            <w:rFonts w:ascii="PT Astra Serif" w:hAnsi="PT Astra Serif" w:cs="PT Astra Serif"/>
            <w:color w:val="auto"/>
            <w:sz w:val="26"/>
            <w:u w:val="none"/>
          </w:rPr>
          <w:t>Стандарт</w:t>
        </w:r>
      </w:hyperlink>
      <w:r>
        <w:rPr>
          <w:rFonts w:ascii="PT Astra Serif" w:hAnsi="PT Astra Serif" w:cs="PT Astra Serif"/>
          <w:sz w:val="26"/>
        </w:rPr>
        <w:t xml:space="preserve"> "План счетов бюджетного учета");</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28) </w:t>
      </w:r>
      <w:hyperlink r:id="rId67" w:tgtFrame="https://cloud.consultant.ru/cloud/cgi/online.cgi?req=doc&amp;amp;base=LAW&amp;amp;n=187708&amp;amp;fld=134&amp;amp;dst=100008&amp;amp;last=1">
        <w:r>
          <w:rPr>
            <w:rStyle w:val="af0"/>
            <w:rFonts w:ascii="PT Astra Serif" w:hAnsi="PT Astra Serif" w:cs="PT Astra Serif"/>
            <w:color w:val="auto"/>
            <w:sz w:val="26"/>
            <w:u w:val="none"/>
          </w:rPr>
          <w:t>Правила</w:t>
        </w:r>
      </w:hyperlink>
      <w:r>
        <w:rPr>
          <w:rFonts w:ascii="PT Astra Serif" w:hAnsi="PT Astra Serif" w:cs="PT Astra Serif"/>
          <w:sz w:val="26"/>
        </w:rPr>
        <w:t xml:space="preserve"> учета и хранения драгоценных металлов, драгоценных камней и продукции из них, а также ведения соответствующей отчетности, утвержденные Постановлением Правительства РФ от 28.09.2000 № 731 (далее - </w:t>
      </w:r>
      <w:hyperlink r:id="rId68" w:tgtFrame="https://cloud.consultant.ru/cloud/cgi/online.cgi?req=doc&amp;amp;base=LAW&amp;amp;n=187708&amp;amp;fld=134&amp;amp;dst=100008&amp;amp;last=1">
        <w:r>
          <w:rPr>
            <w:rStyle w:val="af0"/>
            <w:rFonts w:ascii="PT Astra Serif" w:hAnsi="PT Astra Serif" w:cs="PT Astra Serif"/>
            <w:color w:val="auto"/>
            <w:sz w:val="26"/>
            <w:u w:val="none"/>
          </w:rPr>
          <w:t>Правила</w:t>
        </w:r>
      </w:hyperlink>
      <w:r>
        <w:rPr>
          <w:rFonts w:ascii="PT Astra Serif" w:hAnsi="PT Astra Serif" w:cs="PT Astra Serif"/>
          <w:sz w:val="26"/>
        </w:rPr>
        <w:t xml:space="preserve"> учета и хранения драгоценных металлов, драгоценных камней и продукции из них, а также ведения соответствующей отчетности);</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29) </w:t>
      </w:r>
      <w:hyperlink r:id="rId69" w:tgtFrame="https://cloud.consultant.ru/cloud/cgi/online.cgi?req=doc&amp;amp;base=LAW&amp;amp;n=294722&amp;amp;fld=134&amp;amp;dst=100015&amp;amp;last=1">
        <w:r>
          <w:rPr>
            <w:rStyle w:val="af0"/>
            <w:rFonts w:ascii="PT Astra Serif" w:hAnsi="PT Astra Serif" w:cs="PT Astra Serif"/>
            <w:color w:val="auto"/>
            <w:sz w:val="26"/>
            <w:u w:val="none"/>
          </w:rPr>
          <w:t>Инструкция</w:t>
        </w:r>
      </w:hyperlink>
      <w:r>
        <w:rPr>
          <w:rFonts w:ascii="PT Astra Serif" w:hAnsi="PT Astra Serif" w:cs="PT Astra Serif"/>
          <w:sz w:val="26"/>
        </w:rPr>
        <w:t xml:space="preserve">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утвержденная Приказом Минфина России от 28.12.2010 № 191н (далее - </w:t>
      </w:r>
      <w:hyperlink r:id="rId70" w:tgtFrame="https://cloud.consultant.ru/cloud/cgi/online.cgi?req=doc&amp;amp;base=LAW&amp;amp;n=294722&amp;amp;fld=134&amp;amp;dst=100015&amp;amp;last=1">
        <w:r>
          <w:rPr>
            <w:rStyle w:val="af0"/>
            <w:rFonts w:ascii="PT Astra Serif" w:hAnsi="PT Astra Serif" w:cs="PT Astra Serif"/>
            <w:color w:val="auto"/>
            <w:sz w:val="26"/>
            <w:u w:val="none"/>
          </w:rPr>
          <w:t>Инструкция</w:t>
        </w:r>
      </w:hyperlink>
      <w:r>
        <w:rPr>
          <w:rFonts w:ascii="PT Astra Serif" w:hAnsi="PT Astra Serif" w:cs="PT Astra Serif"/>
          <w:sz w:val="26"/>
        </w:rPr>
        <w:t xml:space="preserve"> № 191н);</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30) </w:t>
      </w:r>
      <w:hyperlink r:id="rId71" w:tgtFrame="https://cloud.consultant.ru/cloud/cgi/online.cgi?req=doc&amp;amp;base=LAW&amp;amp;n=285455&amp;amp;fld=134&amp;amp;dst=1000000001&amp;amp;last=1">
        <w:r>
          <w:rPr>
            <w:rStyle w:val="af0"/>
            <w:rFonts w:ascii="PT Astra Serif" w:hAnsi="PT Astra Serif" w:cs="PT Astra Serif"/>
            <w:color w:val="auto"/>
            <w:sz w:val="26"/>
            <w:u w:val="none"/>
          </w:rPr>
          <w:t>Приказ</w:t>
        </w:r>
      </w:hyperlink>
      <w:r>
        <w:rPr>
          <w:rFonts w:ascii="PT Astra Serif" w:hAnsi="PT Astra Serif" w:cs="PT Astra Serif"/>
          <w:sz w:val="26"/>
        </w:rPr>
        <w:t xml:space="preserve">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w:t>
      </w:r>
      <w:hyperlink r:id="rId72" w:tgtFrame="https://cloud.consultant.ru/cloud/cgi/online.cgi?req=doc&amp;amp;base=LAW&amp;amp;n=285455&amp;amp;fld=134&amp;amp;dst=1000000001&amp;amp;last=1">
        <w:r>
          <w:rPr>
            <w:rStyle w:val="af0"/>
            <w:rFonts w:ascii="PT Astra Serif" w:hAnsi="PT Astra Serif" w:cs="PT Astra Serif"/>
            <w:color w:val="auto"/>
            <w:sz w:val="26"/>
            <w:u w:val="none"/>
          </w:rPr>
          <w:t>Приказ</w:t>
        </w:r>
      </w:hyperlink>
      <w:r>
        <w:rPr>
          <w:rFonts w:ascii="PT Astra Serif" w:hAnsi="PT Astra Serif" w:cs="PT Astra Serif"/>
          <w:sz w:val="26"/>
        </w:rPr>
        <w:t xml:space="preserve"> Минфина России № 52н);</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31) </w:t>
      </w:r>
      <w:hyperlink r:id="rId73" w:tgtFrame="https://cloud.consultant.ru/cloud/cgi/online.cgi?req=doc&amp;amp;base=LAW&amp;amp;n=210686&amp;amp;fld=134&amp;amp;dst=1000000001&amp;amp;last=1">
        <w:r>
          <w:rPr>
            <w:rStyle w:val="af0"/>
            <w:rFonts w:ascii="PT Astra Serif" w:hAnsi="PT Astra Serif" w:cs="PT Astra Serif"/>
            <w:color w:val="auto"/>
            <w:sz w:val="26"/>
            <w:u w:val="none"/>
          </w:rPr>
          <w:t>Приказ</w:t>
        </w:r>
      </w:hyperlink>
      <w:r>
        <w:rPr>
          <w:rFonts w:ascii="PT Astra Serif" w:hAnsi="PT Astra Serif" w:cs="PT Astra Serif"/>
          <w:sz w:val="26"/>
        </w:rPr>
        <w:t xml:space="preserve"> Минфина России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(далее - </w:t>
      </w:r>
      <w:hyperlink r:id="rId74" w:tgtFrame="https://cloud.consultant.ru/cloud/cgi/online.cgi?req=doc&amp;amp;base=LAW&amp;amp;n=210686&amp;amp;fld=134&amp;amp;dst=1000000001&amp;amp;last=1">
        <w:r>
          <w:rPr>
            <w:rStyle w:val="af0"/>
            <w:rFonts w:ascii="PT Astra Serif" w:hAnsi="PT Astra Serif" w:cs="PT Astra Serif"/>
            <w:color w:val="auto"/>
            <w:sz w:val="26"/>
            <w:u w:val="none"/>
          </w:rPr>
          <w:t>Приказ</w:t>
        </w:r>
      </w:hyperlink>
      <w:r>
        <w:rPr>
          <w:rFonts w:ascii="PT Astra Serif" w:hAnsi="PT Astra Serif" w:cs="PT Astra Serif"/>
          <w:sz w:val="26"/>
        </w:rPr>
        <w:t xml:space="preserve"> Минфина России № 231н);</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32)</w:t>
      </w:r>
      <w:hyperlink r:id="rId75" w:tgtFrame="https://cloud.consultant.ru/cloud/cgi/online.cgi?req=doc&amp;amp;base=LAW&amp;amp;n=284955&amp;amp;fld=134&amp;amp;dst=100011&amp;amp;last=1">
        <w:r>
          <w:rPr>
            <w:rStyle w:val="af0"/>
            <w:rFonts w:ascii="PT Astra Serif" w:hAnsi="PT Astra Serif" w:cs="PT Astra Serif"/>
            <w:color w:val="auto"/>
            <w:sz w:val="26"/>
            <w:u w:val="none"/>
          </w:rPr>
          <w:t xml:space="preserve"> Порядок</w:t>
        </w:r>
      </w:hyperlink>
      <w:r>
        <w:rPr>
          <w:rFonts w:ascii="PT Astra Serif" w:hAnsi="PT Astra Serif" w:cs="PT Astra Serif"/>
          <w:sz w:val="26"/>
        </w:rPr>
        <w:t xml:space="preserve"> применения классификации операций сектора государственного управления, утвержденный Приказом Минфина России от 29.11.2017 № 209н                      (далее - </w:t>
      </w:r>
      <w:hyperlink r:id="rId76" w:tgtFrame="https://cloud.consultant.ru/cloud/cgi/online.cgi?req=doc&amp;amp;base=LAW&amp;amp;n=284955&amp;amp;fld=134&amp;amp;dst=100011&amp;amp;last=1">
        <w:r>
          <w:rPr>
            <w:rStyle w:val="af0"/>
            <w:rFonts w:ascii="PT Astra Serif" w:hAnsi="PT Astra Serif" w:cs="PT Astra Serif"/>
            <w:color w:val="auto"/>
            <w:sz w:val="26"/>
            <w:u w:val="none"/>
          </w:rPr>
          <w:t>Порядок</w:t>
        </w:r>
      </w:hyperlink>
      <w:r>
        <w:rPr>
          <w:rFonts w:ascii="PT Astra Serif" w:hAnsi="PT Astra Serif" w:cs="PT Astra Serif"/>
          <w:sz w:val="26"/>
        </w:rPr>
        <w:t xml:space="preserve"> применения КОСГУ, </w:t>
      </w:r>
      <w:hyperlink r:id="rId77" w:tgtFrame="https://cloud.consultant.ru/cloud/cgi/online.cgi?req=doc&amp;amp;base=LAW&amp;amp;n=284955&amp;amp;fld=134&amp;amp;dst=100011&amp;amp;last=1">
        <w:r>
          <w:rPr>
            <w:rStyle w:val="af0"/>
            <w:rFonts w:ascii="PT Astra Serif" w:hAnsi="PT Astra Serif" w:cs="PT Astra Serif"/>
            <w:color w:val="auto"/>
            <w:sz w:val="26"/>
            <w:u w:val="none"/>
          </w:rPr>
          <w:t>Порядок</w:t>
        </w:r>
      </w:hyperlink>
      <w:r>
        <w:rPr>
          <w:rFonts w:ascii="PT Astra Serif" w:hAnsi="PT Astra Serif" w:cs="PT Astra Serif"/>
          <w:sz w:val="26"/>
        </w:rPr>
        <w:t xml:space="preserve"> № 209н);</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33) </w:t>
      </w:r>
      <w:hyperlink r:id="rId78" w:tgtFrame="https://cloud.consultant.ru/cloud/cgi/online.cgi?req=doc&amp;amp;base=LAW&amp;amp;n=384040&amp;amp;fld=134&amp;amp;dst=100002&amp;amp;date=31.08.2021&amp;amp;last=1">
        <w:r>
          <w:rPr>
            <w:rStyle w:val="af0"/>
            <w:rFonts w:ascii="PT Astra Serif" w:hAnsi="PT Astra Serif" w:cs="PT Astra Serif"/>
            <w:color w:val="auto"/>
            <w:sz w:val="26"/>
            <w:u w:val="none"/>
          </w:rPr>
          <w:t>Приказ</w:t>
        </w:r>
      </w:hyperlink>
      <w:r>
        <w:rPr>
          <w:rFonts w:ascii="PT Astra Serif" w:hAnsi="PT Astra Serif" w:cs="PT Astra Serif"/>
          <w:sz w:val="26"/>
        </w:rPr>
        <w:t xml:space="preserve">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w:t>
      </w:r>
      <w:hyperlink r:id="rId79" w:tgtFrame="https://cloud.consultant.ru/cloud/cgi/online.cgi?req=doc&amp;amp;base=LAW&amp;amp;n=384040&amp;amp;fld=134&amp;amp;dst=100002&amp;amp;date=31.08.2021&amp;amp;last=1">
        <w:r>
          <w:rPr>
            <w:rStyle w:val="af0"/>
            <w:rFonts w:ascii="PT Astra Serif" w:hAnsi="PT Astra Serif" w:cs="PT Astra Serif"/>
            <w:color w:val="auto"/>
            <w:sz w:val="26"/>
            <w:u w:val="none"/>
          </w:rPr>
          <w:t>Приказ</w:t>
        </w:r>
      </w:hyperlink>
      <w:r>
        <w:rPr>
          <w:rFonts w:ascii="PT Astra Serif" w:hAnsi="PT Astra Serif" w:cs="PT Astra Serif"/>
          <w:sz w:val="26"/>
        </w:rPr>
        <w:t xml:space="preserve"> Минфина России № 61н);</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34) </w:t>
      </w:r>
      <w:hyperlink r:id="rId80" w:tgtFrame="https://cloud.consultant.ru/cloud/cgi/online.cgi?req=doc&amp;amp;base=LAW&amp;amp;n=418512&amp;amp;fld=134&amp;amp;dst=100025&amp;amp;date=24.08.2022&amp;amp;last=1">
        <w:r>
          <w:rPr>
            <w:rStyle w:val="af0"/>
            <w:rFonts w:ascii="PT Astra Serif" w:hAnsi="PT Astra Serif" w:cs="PT Astra Serif"/>
            <w:color w:val="auto"/>
            <w:sz w:val="26"/>
            <w:u w:val="none"/>
          </w:rPr>
          <w:t>Порядок</w:t>
        </w:r>
      </w:hyperlink>
      <w:r>
        <w:rPr>
          <w:rFonts w:ascii="PT Astra Serif" w:hAnsi="PT Astra Serif" w:cs="PT Astra Serif"/>
          <w:sz w:val="26"/>
        </w:rPr>
        <w:t xml:space="preserve">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 82н (далее - </w:t>
      </w:r>
      <w:hyperlink r:id="rId81" w:tgtFrame="https://cloud.consultant.ru/cloud/cgi/online.cgi?req=doc&amp;amp;base=LAW&amp;amp;n=418512&amp;amp;fld=134&amp;amp;dst=100025&amp;amp;date=24.08.2022&amp;amp;last=1">
        <w:r>
          <w:rPr>
            <w:rStyle w:val="af0"/>
            <w:rFonts w:ascii="PT Astra Serif" w:hAnsi="PT Astra Serif" w:cs="PT Astra Serif"/>
            <w:color w:val="auto"/>
            <w:sz w:val="26"/>
            <w:u w:val="none"/>
          </w:rPr>
          <w:t>Порядок</w:t>
        </w:r>
      </w:hyperlink>
      <w:r>
        <w:rPr>
          <w:rFonts w:ascii="PT Astra Serif" w:hAnsi="PT Astra Serif" w:cs="PT Astra Serif"/>
          <w:sz w:val="26"/>
        </w:rPr>
        <w:t xml:space="preserve"> № 82н);</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35)Методические </w:t>
      </w:r>
      <w:hyperlink r:id="rId82" w:tgtFrame="https://cloud.consultant.ru/cloud/cgi/online.cgi?req=doc&amp;amp;base=LAW&amp;amp;n=303311&amp;amp;fld=134&amp;amp;dst=100008&amp;amp;last=1">
        <w:r>
          <w:rPr>
            <w:rStyle w:val="af0"/>
            <w:rFonts w:ascii="PT Astra Serif" w:hAnsi="PT Astra Serif" w:cs="PT Astra Serif"/>
            <w:color w:val="auto"/>
            <w:sz w:val="26"/>
            <w:u w:val="none"/>
          </w:rPr>
          <w:t>рекомендации</w:t>
        </w:r>
      </w:hyperlink>
      <w:r>
        <w:rPr>
          <w:rFonts w:ascii="PT Astra Serif" w:hAnsi="PT Astra Serif" w:cs="PT Astra Serif"/>
          <w:sz w:val="26"/>
        </w:rPr>
        <w:t xml:space="preserve"> "Нормы расхода топлива и смазочных материалов на автомобильном транспорте", введенные в действие Распоряжением Минтранса России от 14.03.2008 № АМ-23-р (далее - Методические </w:t>
      </w:r>
      <w:hyperlink r:id="rId83" w:tgtFrame="https://cloud.consultant.ru/cloud/cgi/online.cgi?req=doc&amp;amp;base=LAW&amp;amp;n=303311&amp;amp;fld=134&amp;amp;dst=100008&amp;amp;last=1">
        <w:r>
          <w:rPr>
            <w:rStyle w:val="af0"/>
            <w:rFonts w:ascii="PT Astra Serif" w:hAnsi="PT Astra Serif" w:cs="PT Astra Serif"/>
            <w:color w:val="auto"/>
            <w:sz w:val="26"/>
            <w:u w:val="none"/>
          </w:rPr>
          <w:t>рекомендации</w:t>
        </w:r>
      </w:hyperlink>
      <w:r>
        <w:rPr>
          <w:rFonts w:ascii="PT Astra Serif" w:hAnsi="PT Astra Serif" w:cs="PT Astra Serif"/>
          <w:sz w:val="26"/>
        </w:rPr>
        <w:t xml:space="preserve"> № АМ-23-р);</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36) </w:t>
      </w:r>
      <w:hyperlink r:id="rId84" w:tgtFrame="https://cloud.consultant.ru/cloud/cgi/online.cgi?req=doc&amp;amp;base=LAW&amp;amp;n=222242&amp;amp;fld=134&amp;amp;dst=1000000001&amp;amp;last=1">
        <w:r>
          <w:rPr>
            <w:rStyle w:val="af0"/>
            <w:rFonts w:ascii="PT Astra Serif" w:hAnsi="PT Astra Serif" w:cs="PT Astra Serif"/>
            <w:color w:val="auto"/>
            <w:sz w:val="26"/>
            <w:u w:val="none"/>
          </w:rPr>
          <w:t>Указание</w:t>
        </w:r>
      </w:hyperlink>
      <w:r>
        <w:rPr>
          <w:rFonts w:ascii="PT Astra Serif" w:hAnsi="PT Astra Serif" w:cs="PT Astra Serif"/>
          <w:sz w:val="26"/>
        </w:rPr>
        <w:t xml:space="preserve">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w:t>
      </w:r>
      <w:hyperlink r:id="rId85" w:tgtFrame="https://cloud.consultant.ru/cloud/cgi/online.cgi?req=doc&amp;amp;base=LAW&amp;amp;n=222242&amp;amp;fld=134&amp;amp;dst=1000000001&amp;amp;last=1">
        <w:r>
          <w:rPr>
            <w:rStyle w:val="af0"/>
            <w:rFonts w:ascii="PT Astra Serif" w:hAnsi="PT Astra Serif" w:cs="PT Astra Serif"/>
            <w:color w:val="auto"/>
            <w:sz w:val="26"/>
            <w:u w:val="none"/>
          </w:rPr>
          <w:t>Указание</w:t>
        </w:r>
      </w:hyperlink>
      <w:r>
        <w:rPr>
          <w:rFonts w:ascii="PT Astra Serif" w:hAnsi="PT Astra Serif" w:cs="PT Astra Serif"/>
          <w:sz w:val="26"/>
        </w:rPr>
        <w:t xml:space="preserve"> № 3210-У);</w:t>
      </w:r>
    </w:p>
    <w:p w:rsidR="00F06D11" w:rsidRDefault="0038137D">
      <w:pPr>
        <w:pStyle w:val="2"/>
        <w:tabs>
          <w:tab w:val="clear" w:pos="0"/>
        </w:tabs>
        <w:spacing w:line="240" w:lineRule="auto"/>
        <w:ind w:firstLine="709"/>
        <w:contextualSpacing/>
      </w:pPr>
      <w:r>
        <w:rPr>
          <w:rFonts w:ascii="PT Astra Serif" w:hAnsi="PT Astra Serif" w:cs="PT Astra Serif"/>
          <w:sz w:val="26"/>
        </w:rPr>
        <w:t xml:space="preserve">37)  </w:t>
      </w:r>
      <w:hyperlink r:id="rId86" w:tgtFrame="https://cloud.consultant.ru/cloud/cgi/online.cgi?req=doc&amp;amp;base=LAW&amp;amp;n=350539&amp;amp;fld=134&amp;amp;date=17.11.2020&amp;amp;last=1">
        <w:r>
          <w:rPr>
            <w:rStyle w:val="af0"/>
            <w:rFonts w:ascii="PT Astra Serif" w:hAnsi="PT Astra Serif" w:cs="PT Astra Serif"/>
            <w:color w:val="auto"/>
            <w:sz w:val="26"/>
            <w:u w:val="none"/>
          </w:rPr>
          <w:t>Указание</w:t>
        </w:r>
      </w:hyperlink>
      <w:r>
        <w:rPr>
          <w:rFonts w:ascii="PT Astra Serif" w:hAnsi="PT Astra Serif" w:cs="PT Astra Serif"/>
          <w:sz w:val="26"/>
        </w:rPr>
        <w:t xml:space="preserve"> Банка России от 09.12.2019 № 5348-У "О правилах наличных расчетов" (далее - </w:t>
      </w:r>
      <w:hyperlink r:id="rId87" w:tgtFrame="https://cloud.consultant.ru/cloud/cgi/online.cgi?req=doc&amp;amp;base=LAW&amp;amp;n=350539&amp;amp;fld=134&amp;amp;date=17.11.2020&amp;amp;last=1">
        <w:r>
          <w:rPr>
            <w:rStyle w:val="af0"/>
            <w:rFonts w:ascii="PT Astra Serif" w:hAnsi="PT Astra Serif" w:cs="PT Astra Serif"/>
            <w:color w:val="auto"/>
            <w:sz w:val="26"/>
            <w:u w:val="none"/>
          </w:rPr>
          <w:t>Указание</w:t>
        </w:r>
      </w:hyperlink>
      <w:r>
        <w:rPr>
          <w:rFonts w:ascii="PT Astra Serif" w:hAnsi="PT Astra Serif" w:cs="PT Astra Serif"/>
          <w:sz w:val="26"/>
        </w:rPr>
        <w:t xml:space="preserve"> № 5348-У).</w:t>
      </w:r>
    </w:p>
    <w:p w:rsidR="00F06D11" w:rsidRDefault="00F06D11">
      <w:pPr>
        <w:pStyle w:val="2"/>
        <w:tabs>
          <w:tab w:val="clear" w:pos="0"/>
        </w:tabs>
        <w:spacing w:line="240" w:lineRule="auto"/>
        <w:ind w:firstLine="709"/>
        <w:contextualSpacing/>
      </w:pPr>
    </w:p>
    <w:p w:rsidR="00F06D11" w:rsidRDefault="0038137D">
      <w:pPr>
        <w:pStyle w:val="2"/>
        <w:tabs>
          <w:tab w:val="clear" w:pos="0"/>
        </w:tabs>
        <w:spacing w:line="240" w:lineRule="auto"/>
        <w:ind w:firstLine="709"/>
        <w:contextualSpacing/>
        <w:jc w:val="center"/>
        <w:rPr>
          <w:rFonts w:ascii="PT Astra Serif" w:hAnsi="PT Astra Serif" w:cs="PT Astra Serif"/>
          <w:sz w:val="26"/>
        </w:rPr>
      </w:pPr>
      <w:r>
        <w:rPr>
          <w:rFonts w:ascii="PT Astra Serif" w:hAnsi="PT Astra Serif" w:cs="PT Astra Serif"/>
          <w:sz w:val="26"/>
        </w:rPr>
        <w:t>ГЛАВА 2. Организация бухгалтерского учета</w:t>
      </w:r>
    </w:p>
    <w:p w:rsidR="00F06D11" w:rsidRDefault="00F06D11"/>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2. Ведение бухгалтерского учета и хранение документов бухгалтерского учета организуется начальником отдела бухгалтерского учета и отчетности Исполнительного комитета.</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3. Отдел бухгалтерского учета и отчетности и отдел бухгалтерского учета и отчетности Исполнительного комитета ведет бухгалтерский учет имущества, обязательств и хозяйственных операций путем двойной записи на взаимосвязанных счетах бухгалтерского учета, включенных в рабочий план счетов бухгалтерского учета.</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4. Все хозяйственные операции оформляются оправдательными документами. Эти документы служат первичными учетными документами, на основании которых ведется бухгалтерский учет.</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5. При учете имущества и обязательств Исполнительного комитета, первичные документы визируются заместителем Руководителя Исполнительного комитета либо начальником структурного подразделения, имеющих непосредственное отношение к вопросам, содержащимся в соответствующих первичных документах и ответственное за оформление фактов хозяйственной жизни, а также обеспечивает своевременную передачу первичных учетных документов для регистрации в них данных регистров бухгалтерского учета, а такте достоверность этих данных.</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Требования начальника отдела бухгалтерского учета и отчетности, заместителя начальника отдела бухгалтерского учета и отчетности обязательны для исполнения.</w:t>
      </w:r>
    </w:p>
    <w:p w:rsidR="00F06D11" w:rsidRDefault="0038137D">
      <w:pPr>
        <w:pStyle w:val="2"/>
        <w:tabs>
          <w:tab w:val="clear" w:pos="0"/>
        </w:tabs>
        <w:spacing w:line="240" w:lineRule="auto"/>
        <w:ind w:firstLine="709"/>
        <w:contextualSpacing/>
        <w:rPr>
          <w:rFonts w:ascii="PT Astra Serif" w:hAnsi="PT Astra Serif" w:cs="PT Astra Serif"/>
          <w:b/>
          <w:sz w:val="26"/>
        </w:rPr>
      </w:pPr>
      <w:r>
        <w:rPr>
          <w:rFonts w:ascii="PT Astra Serif" w:hAnsi="PT Astra Serif" w:cs="PT Astra Serif"/>
          <w:sz w:val="26"/>
        </w:rPr>
        <w:t>6. Первичный учетный документ составляется на бумажном носителе и (или) в виде электронного документа, подписанного электронной подписью.</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b/>
          <w:sz w:val="26"/>
        </w:rPr>
        <w:t>7.</w:t>
      </w:r>
      <w:r>
        <w:rPr>
          <w:rFonts w:ascii="PT Astra Serif" w:hAnsi="PT Astra Serif" w:cs="PT Astra Serif"/>
          <w:sz w:val="26"/>
        </w:rPr>
        <w:t xml:space="preserve"> Бюджетный учет ведется по новым стандартам: «Единый план счетов бухгалтерского учета государственных финансов» и «План счетов бюджетного учета».</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8. Бухгалтерский учет имущества, обязательств и хозяйственных операций ведется в валюте Российской Федерации — рублях.</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9. При смене начальника отдела бухгалтерского учета и отчетности документы бухгалтерского учета и отчетности передаются в порядке согласно приложению № 7 к настоящей Учетной политике.</w:t>
      </w:r>
      <w:bookmarkEnd w:id="8"/>
    </w:p>
    <w:p w:rsidR="00F06D11" w:rsidRDefault="0038137D">
      <w:pPr>
        <w:pStyle w:val="2"/>
        <w:tabs>
          <w:tab w:val="clear" w:pos="0"/>
        </w:tabs>
        <w:spacing w:line="240" w:lineRule="auto"/>
        <w:ind w:firstLine="709"/>
        <w:contextualSpacing/>
        <w:rPr>
          <w:rFonts w:ascii="PT Astra Serif" w:hAnsi="PT Astra Serif" w:cs="PT Astra Serif"/>
          <w:sz w:val="26"/>
        </w:rPr>
      </w:pPr>
      <w:bookmarkStart w:id="11" w:name="_ref_1-c8082797e1ee4d"/>
      <w:r>
        <w:rPr>
          <w:rFonts w:ascii="PT Astra Serif" w:hAnsi="PT Astra Serif" w:cs="PT Astra Serif"/>
          <w:sz w:val="26"/>
        </w:rPr>
        <w:t>10. Форма ведения учета - автоматизированная с применением компьютерных программ</w:t>
      </w:r>
      <w:bookmarkEnd w:id="11"/>
      <w:r>
        <w:rPr>
          <w:rFonts w:ascii="PT Astra Serif" w:hAnsi="PT Astra Serif" w:cs="PT Astra Serif"/>
          <w:sz w:val="26"/>
        </w:rPr>
        <w:t>.</w:t>
      </w:r>
    </w:p>
    <w:p w:rsidR="00F06D11" w:rsidRDefault="0038137D">
      <w:pPr>
        <w:pStyle w:val="2"/>
        <w:tabs>
          <w:tab w:val="clear" w:pos="0"/>
        </w:tabs>
        <w:spacing w:line="240" w:lineRule="auto"/>
        <w:ind w:firstLine="709"/>
        <w:contextualSpacing/>
        <w:rPr>
          <w:rFonts w:ascii="PT Astra Serif" w:hAnsi="PT Astra Serif" w:cs="PT Astra Serif"/>
          <w:sz w:val="26"/>
        </w:rPr>
      </w:pPr>
      <w:bookmarkStart w:id="12" w:name="_ref_1-b061d215432f4c"/>
      <w:r>
        <w:rPr>
          <w:rFonts w:ascii="PT Astra Serif" w:hAnsi="PT Astra Serif" w:cs="PT Astra Serif"/>
          <w:sz w:val="26"/>
        </w:rPr>
        <w:t>11. Внутренний контроль совершаемых фактов хозяйственной жизни осуществляется в соответствии с порядком, согласно приложению №5 к настоящей Учетной политике.</w:t>
      </w:r>
      <w:bookmarkEnd w:id="12"/>
    </w:p>
    <w:p w:rsidR="00F06D11" w:rsidRDefault="0038137D">
      <w:pPr>
        <w:pStyle w:val="2"/>
        <w:tabs>
          <w:tab w:val="clear" w:pos="0"/>
        </w:tabs>
        <w:spacing w:line="240" w:lineRule="auto"/>
        <w:ind w:firstLine="709"/>
        <w:contextualSpacing/>
        <w:rPr>
          <w:rFonts w:ascii="PT Astra Serif" w:hAnsi="PT Astra Serif" w:cs="PT Astra Serif"/>
          <w:sz w:val="26"/>
        </w:rPr>
      </w:pPr>
      <w:bookmarkStart w:id="13" w:name="_ref_1-e318cc4b8b0445"/>
      <w:bookmarkStart w:id="14" w:name="_ref_1-e05e4bef9e0246"/>
      <w:r>
        <w:rPr>
          <w:rFonts w:ascii="PT Astra Serif" w:hAnsi="PT Astra Serif" w:cs="PT Astra Serif"/>
          <w:sz w:val="26"/>
        </w:rPr>
        <w:t>12. Организация работы по принятию к учету и выбытию материальных ценностей осуществляется созданной на постоянной основе комиссией по поступлению и выбытию активов, действующей в соответствии с положением, утвержденным распоряжением Исполнительного комитета.</w:t>
      </w:r>
      <w:bookmarkEnd w:id="13"/>
    </w:p>
    <w:p w:rsidR="00F06D11" w:rsidRDefault="0038137D">
      <w:pPr>
        <w:pStyle w:val="2"/>
        <w:tabs>
          <w:tab w:val="clear" w:pos="0"/>
        </w:tabs>
        <w:spacing w:line="240" w:lineRule="auto"/>
        <w:ind w:firstLine="709"/>
        <w:contextualSpacing/>
        <w:rPr>
          <w:rFonts w:ascii="PT Astra Serif" w:hAnsi="PT Astra Serif" w:cs="PT Astra Serif"/>
          <w:sz w:val="26"/>
        </w:rPr>
      </w:pPr>
      <w:bookmarkStart w:id="15" w:name="_ref_1-97268dd2b4dd4c"/>
      <w:bookmarkStart w:id="16" w:name="_ref_1-aa1ac911f90346"/>
      <w:r>
        <w:rPr>
          <w:rFonts w:ascii="PT Astra Serif" w:hAnsi="PT Astra Serif" w:cs="PT Astra Serif"/>
          <w:sz w:val="26"/>
        </w:rPr>
        <w:t>13. Достоверность данных учета и отчетности подтверждается путем инвентаризаций активов и обязательств, проводимых в порядке согласно приложению № 6 к настоящей Учетной политике.</w:t>
      </w:r>
      <w:bookmarkEnd w:id="15"/>
    </w:p>
    <w:p w:rsidR="00F06D11" w:rsidRDefault="0038137D">
      <w:pPr>
        <w:pStyle w:val="2"/>
        <w:tabs>
          <w:tab w:val="clear" w:pos="0"/>
        </w:tabs>
        <w:spacing w:line="240" w:lineRule="auto"/>
        <w:ind w:firstLine="709"/>
        <w:contextualSpacing/>
        <w:rPr>
          <w:rFonts w:ascii="PT Astra Serif" w:eastAsia="PT Astra Serif" w:hAnsi="PT Astra Serif" w:cs="PT Astra Serif"/>
          <w:sz w:val="26"/>
        </w:rPr>
      </w:pPr>
      <w:r>
        <w:rPr>
          <w:rFonts w:ascii="PT Astra Serif" w:hAnsi="PT Astra Serif" w:cs="PT Astra Serif"/>
          <w:sz w:val="26"/>
        </w:rPr>
        <w:t xml:space="preserve">Признание событий после отчетной даты и отражение информации о них в отчетности осуществляется в соответствии с требованиями </w:t>
      </w:r>
      <w:hyperlink r:id="rId88" w:tgtFrame="https://cloud.consultant.ru/cloud/cgi/online.cgi?req=doc&amp;amp;base=LAW&amp;amp;n=298372&amp;amp;fld=134&amp;amp;dst=1000000001&amp;amp;last=1">
        <w:r>
          <w:rPr>
            <w:rStyle w:val="af0"/>
            <w:rFonts w:ascii="PT Astra Serif" w:hAnsi="PT Astra Serif" w:cs="PT Astra Serif"/>
            <w:sz w:val="26"/>
            <w:u w:val="none"/>
          </w:rPr>
          <w:t>СГС</w:t>
        </w:r>
      </w:hyperlink>
      <w:r>
        <w:rPr>
          <w:rFonts w:ascii="PT Astra Serif" w:hAnsi="PT Astra Serif" w:cs="PT Astra Serif"/>
          <w:sz w:val="26"/>
        </w:rPr>
        <w:t xml:space="preserve"> "События после отчетной даты".</w:t>
      </w:r>
      <w:bookmarkEnd w:id="14"/>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eastAsia="PT Astra Serif" w:hAnsi="PT Astra Serif" w:cs="PT Astra Serif"/>
          <w:sz w:val="26"/>
        </w:rPr>
        <w:t xml:space="preserve">                                   </w:t>
      </w:r>
      <w:r>
        <w:rPr>
          <w:rFonts w:ascii="PT Astra Serif" w:hAnsi="PT Astra Serif" w:cs="PT Astra Serif"/>
          <w:sz w:val="26"/>
        </w:rPr>
        <w:t>ГЛАВА 3. Документы бухгалтерского учета</w:t>
      </w:r>
      <w:bookmarkEnd w:id="16"/>
    </w:p>
    <w:p w:rsidR="00F06D11" w:rsidRDefault="00F06D11"/>
    <w:p w:rsidR="00F06D11" w:rsidRDefault="0038137D">
      <w:pPr>
        <w:pStyle w:val="2"/>
        <w:tabs>
          <w:tab w:val="clear" w:pos="0"/>
        </w:tabs>
        <w:spacing w:line="240" w:lineRule="auto"/>
        <w:ind w:firstLine="709"/>
        <w:contextualSpacing/>
        <w:rPr>
          <w:rFonts w:ascii="PT Astra Serif" w:hAnsi="PT Astra Serif" w:cs="PT Astra Serif"/>
          <w:sz w:val="26"/>
        </w:rPr>
      </w:pPr>
      <w:bookmarkStart w:id="17" w:name="_ref_1-e0e90d0a0de141"/>
      <w:r>
        <w:rPr>
          <w:rFonts w:ascii="PT Astra Serif" w:hAnsi="PT Astra Serif" w:cs="PT Astra Serif"/>
          <w:sz w:val="26"/>
        </w:rPr>
        <w:t>14. Для отражения объектов учета и изменяющих их фактов хозяйственной жизни используются неунифицированные формы первичных учетных документов</w:t>
      </w:r>
      <w:bookmarkEnd w:id="17"/>
      <w:r>
        <w:rPr>
          <w:rFonts w:ascii="PT Astra Serif" w:hAnsi="PT Astra Serif" w:cs="PT Astra Serif"/>
          <w:sz w:val="26"/>
        </w:rPr>
        <w:t>.</w:t>
      </w:r>
    </w:p>
    <w:p w:rsidR="00F06D11" w:rsidRDefault="0038137D">
      <w:pPr>
        <w:pStyle w:val="2"/>
        <w:tabs>
          <w:tab w:val="clear" w:pos="0"/>
        </w:tabs>
        <w:spacing w:line="240" w:lineRule="auto"/>
        <w:ind w:firstLine="709"/>
        <w:contextualSpacing/>
        <w:rPr>
          <w:rFonts w:ascii="PT Astra Serif" w:hAnsi="PT Astra Serif" w:cs="PT Astra Serif"/>
          <w:sz w:val="26"/>
        </w:rPr>
      </w:pPr>
      <w:bookmarkStart w:id="18" w:name="_ref_1-05324cecf90a4f"/>
      <w:r>
        <w:rPr>
          <w:rFonts w:ascii="PT Astra Serif" w:hAnsi="PT Astra Serif" w:cs="PT Astra Serif"/>
          <w:sz w:val="26"/>
        </w:rPr>
        <w:t xml:space="preserve">15. Перевод на русский язык первичных (сводных) учетных документов, составленных на иных языках, </w:t>
      </w:r>
      <w:bookmarkEnd w:id="18"/>
      <w:r>
        <w:rPr>
          <w:rFonts w:ascii="PT Astra Serif" w:hAnsi="PT Astra Serif" w:cs="PT Astra Serif"/>
          <w:sz w:val="26"/>
        </w:rPr>
        <w:t>осуществляется специализированными организациями при заключении с ними договора на предоставление услуг по переводу.</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Перевод первичного (сводного) учетного документа оформляется на отдельном листе, содержащем поочередно строку оригинала и строку перевода. Правильность перевода удостоверяется подписью переводчика.</w:t>
      </w:r>
    </w:p>
    <w:p w:rsidR="00F06D11" w:rsidRDefault="0038137D">
      <w:pPr>
        <w:pStyle w:val="2"/>
        <w:tabs>
          <w:tab w:val="clear" w:pos="0"/>
        </w:tabs>
        <w:spacing w:line="240" w:lineRule="auto"/>
        <w:ind w:firstLine="709"/>
        <w:contextualSpacing/>
        <w:rPr>
          <w:rFonts w:ascii="PT Astra Serif" w:hAnsi="PT Astra Serif" w:cs="PT Astra Serif"/>
          <w:sz w:val="26"/>
        </w:rPr>
      </w:pPr>
      <w:bookmarkStart w:id="19" w:name="_ref_1-29329479c27b49"/>
      <w:r>
        <w:rPr>
          <w:rFonts w:ascii="PT Astra Serif" w:hAnsi="PT Astra Serif" w:cs="PT Astra Serif"/>
          <w:sz w:val="26"/>
        </w:rPr>
        <w:t>16. Правила и график документооборота, а также технология обработки учетной информации приведены в Приложении №13 к настоящей Учетной политике.</w:t>
      </w:r>
      <w:bookmarkEnd w:id="19"/>
    </w:p>
    <w:p w:rsidR="00F06D11" w:rsidRDefault="0038137D">
      <w:pPr>
        <w:pStyle w:val="2"/>
        <w:tabs>
          <w:tab w:val="clear" w:pos="0"/>
        </w:tabs>
        <w:spacing w:line="240" w:lineRule="auto"/>
        <w:ind w:firstLine="709"/>
        <w:contextualSpacing/>
        <w:rPr>
          <w:rFonts w:ascii="PT Astra Serif" w:hAnsi="PT Astra Serif" w:cs="PT Astra Serif"/>
          <w:sz w:val="26"/>
        </w:rPr>
      </w:pPr>
      <w:bookmarkStart w:id="20" w:name="_ref_1-ba3ac112a50a4a"/>
      <w:r>
        <w:rPr>
          <w:rFonts w:ascii="PT Astra Serif" w:hAnsi="PT Astra Serif" w:cs="PT Astra Serif"/>
          <w:sz w:val="26"/>
        </w:rPr>
        <w:t>17. 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 по неунифицированным формам.</w:t>
      </w:r>
      <w:bookmarkEnd w:id="20"/>
    </w:p>
    <w:p w:rsidR="00F06D11" w:rsidRDefault="0038137D">
      <w:pPr>
        <w:pStyle w:val="2"/>
        <w:tabs>
          <w:tab w:val="clear" w:pos="0"/>
        </w:tabs>
        <w:spacing w:line="240" w:lineRule="auto"/>
        <w:ind w:firstLine="709"/>
        <w:contextualSpacing/>
        <w:rPr>
          <w:rFonts w:ascii="PT Astra Serif" w:hAnsi="PT Astra Serif" w:cs="PT Astra Serif"/>
          <w:sz w:val="26"/>
        </w:rPr>
      </w:pPr>
      <w:bookmarkStart w:id="21" w:name="_ref_1-09ca89e64a1d41"/>
      <w:bookmarkStart w:id="22" w:name="_ref_1-18dadc6bc2c946"/>
      <w:r>
        <w:rPr>
          <w:rFonts w:ascii="PT Astra Serif" w:hAnsi="PT Astra Serif" w:cs="PT Astra Serif"/>
          <w:sz w:val="26"/>
        </w:rPr>
        <w:t>18. Регистры бухгалтерского учета составляются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регистра бухгалтерского учета на бумажном носителе, изготавливается его копия на бумажном носителе.</w:t>
      </w:r>
      <w:bookmarkEnd w:id="21"/>
    </w:p>
    <w:p w:rsidR="00F06D11" w:rsidRDefault="0038137D">
      <w:pPr>
        <w:pStyle w:val="2"/>
        <w:tabs>
          <w:tab w:val="clear" w:pos="0"/>
        </w:tabs>
        <w:spacing w:line="240" w:lineRule="auto"/>
        <w:ind w:firstLine="709"/>
        <w:contextualSpacing/>
        <w:rPr>
          <w:rFonts w:ascii="PT Astra Serif" w:hAnsi="PT Astra Serif" w:cs="PT Astra Serif"/>
          <w:sz w:val="26"/>
        </w:rPr>
      </w:pPr>
      <w:bookmarkStart w:id="23" w:name="_ref_1-e2eccbee515549"/>
      <w:r>
        <w:rPr>
          <w:rFonts w:ascii="PT Astra Serif" w:hAnsi="PT Astra Serif" w:cs="PT Astra Serif"/>
          <w:sz w:val="26"/>
        </w:rPr>
        <w:t>19. Лицо, ответственное за составление копии электронного документа на бумажном носителе, проставляет в заверяемом документе отметку "Верно", указывает наименование своей должности, проставляет подпись и ее расшифровку (инициалы, фамилию), а также дату заверения копии (выписки из документа).</w:t>
      </w:r>
      <w:bookmarkEnd w:id="23"/>
    </w:p>
    <w:p w:rsidR="00F06D11" w:rsidRDefault="0038137D">
      <w:pPr>
        <w:pStyle w:val="2"/>
        <w:tabs>
          <w:tab w:val="clear" w:pos="0"/>
        </w:tabs>
        <w:spacing w:before="0" w:after="0" w:line="240" w:lineRule="auto"/>
        <w:ind w:firstLine="709"/>
        <w:contextualSpacing/>
        <w:rPr>
          <w:rFonts w:ascii="PT Astra Serif" w:eastAsia="PT Astra Serif" w:hAnsi="PT Astra Serif" w:cs="PT Astra Serif"/>
          <w:sz w:val="26"/>
        </w:rPr>
      </w:pPr>
      <w:r>
        <w:rPr>
          <w:rFonts w:ascii="PT Astra Serif" w:hAnsi="PT Astra Serif" w:cs="PT Astra Serif"/>
          <w:sz w:val="26"/>
        </w:rPr>
        <w:t>При представлении копии в другую организацию отметка о заверении дополняется надписью о месте хранения документа, с которого была изготовлена копия, и заверяется печатью.</w:t>
      </w:r>
    </w:p>
    <w:p w:rsidR="00F06D11" w:rsidRDefault="00F06D11">
      <w:pPr>
        <w:spacing w:before="0" w:after="0"/>
        <w:contextualSpacing/>
      </w:pPr>
    </w:p>
    <w:p w:rsidR="00F06D11" w:rsidRDefault="0038137D">
      <w:pPr>
        <w:pStyle w:val="2"/>
        <w:tabs>
          <w:tab w:val="clear" w:pos="0"/>
        </w:tabs>
        <w:spacing w:before="0" w:after="0" w:line="240" w:lineRule="auto"/>
        <w:ind w:firstLine="709"/>
        <w:contextualSpacing/>
        <w:rPr>
          <w:rFonts w:ascii="PT Astra Serif" w:hAnsi="PT Astra Serif" w:cs="PT Astra Serif"/>
          <w:sz w:val="26"/>
        </w:rPr>
      </w:pPr>
      <w:bookmarkStart w:id="24" w:name="_ref_1-891c3f8e64cb45"/>
      <w:r>
        <w:rPr>
          <w:rFonts w:ascii="PT Astra Serif" w:eastAsia="PT Astra Serif" w:hAnsi="PT Astra Serif" w:cs="PT Astra Serif"/>
          <w:sz w:val="26"/>
        </w:rPr>
        <w:t xml:space="preserve">                                         </w:t>
      </w:r>
      <w:r>
        <w:rPr>
          <w:rFonts w:ascii="PT Astra Serif" w:hAnsi="PT Astra Serif" w:cs="PT Astra Serif"/>
          <w:sz w:val="26"/>
        </w:rPr>
        <w:t>ГЛАВА 4. Рабочий план счетов</w:t>
      </w:r>
      <w:bookmarkEnd w:id="22"/>
    </w:p>
    <w:p w:rsidR="00F06D11" w:rsidRDefault="00F06D11">
      <w:pPr>
        <w:spacing w:before="0" w:after="0"/>
        <w:contextualSpacing/>
      </w:pPr>
    </w:p>
    <w:p w:rsidR="00F06D11" w:rsidRDefault="0038137D">
      <w:pPr>
        <w:pStyle w:val="2"/>
        <w:tabs>
          <w:tab w:val="clear" w:pos="0"/>
        </w:tabs>
        <w:spacing w:before="0" w:after="0" w:line="240" w:lineRule="auto"/>
        <w:ind w:firstLine="709"/>
        <w:contextualSpacing/>
        <w:rPr>
          <w:rFonts w:ascii="PT Astra Serif" w:eastAsia="PT Astra Serif" w:hAnsi="PT Astra Serif" w:cs="PT Astra Serif"/>
          <w:sz w:val="26"/>
        </w:rPr>
      </w:pPr>
      <w:bookmarkStart w:id="25" w:name="_ref_1-5dab1caac62c4f"/>
      <w:bookmarkStart w:id="26" w:name="_ref_1-facaf08fe7a745"/>
      <w:r>
        <w:rPr>
          <w:rFonts w:ascii="PT Astra Serif" w:hAnsi="PT Astra Serif" w:cs="PT Astra Serif"/>
          <w:sz w:val="26"/>
        </w:rPr>
        <w:t>20. Рабочий план счетов формируется в составе номеров счетов учета для ведения синтетического и аналитического согласно ФСБУ государственных финансов «План счетов бюджетного учета».</w:t>
      </w:r>
      <w:bookmarkEnd w:id="25"/>
    </w:p>
    <w:p w:rsidR="00F06D11" w:rsidRDefault="00F06D11">
      <w:pPr>
        <w:spacing w:before="0" w:after="0"/>
        <w:contextualSpacing/>
      </w:pPr>
    </w:p>
    <w:p w:rsidR="00F06D11" w:rsidRDefault="0038137D">
      <w:pPr>
        <w:pStyle w:val="2"/>
        <w:tabs>
          <w:tab w:val="clear" w:pos="0"/>
        </w:tabs>
        <w:spacing w:before="0" w:after="0" w:line="240" w:lineRule="auto"/>
        <w:ind w:firstLine="709"/>
        <w:contextualSpacing/>
        <w:rPr>
          <w:rFonts w:ascii="PT Astra Serif" w:hAnsi="PT Astra Serif" w:cs="PT Astra Serif"/>
          <w:sz w:val="26"/>
        </w:rPr>
      </w:pPr>
      <w:r>
        <w:rPr>
          <w:rFonts w:ascii="PT Astra Serif" w:eastAsia="PT Astra Serif" w:hAnsi="PT Astra Serif" w:cs="PT Astra Serif"/>
          <w:sz w:val="26"/>
        </w:rPr>
        <w:t xml:space="preserve">                                          </w:t>
      </w:r>
      <w:r>
        <w:rPr>
          <w:rFonts w:ascii="PT Astra Serif" w:hAnsi="PT Astra Serif" w:cs="PT Astra Serif"/>
          <w:sz w:val="26"/>
        </w:rPr>
        <w:t>ГЛАВА 5. Основные средства</w:t>
      </w:r>
      <w:bookmarkEnd w:id="24"/>
    </w:p>
    <w:p w:rsidR="00F06D11" w:rsidRDefault="00F06D11">
      <w:pPr>
        <w:spacing w:before="0" w:after="0"/>
        <w:contextualSpacing/>
      </w:pPr>
    </w:p>
    <w:p w:rsidR="00F06D11" w:rsidRDefault="0038137D">
      <w:pPr>
        <w:pStyle w:val="2"/>
        <w:tabs>
          <w:tab w:val="clear" w:pos="0"/>
        </w:tabs>
        <w:spacing w:before="0" w:after="0" w:line="240" w:lineRule="auto"/>
        <w:ind w:firstLine="709"/>
        <w:contextualSpacing/>
        <w:rPr>
          <w:rFonts w:ascii="PT Astra Serif" w:hAnsi="PT Astra Serif" w:cs="PT Astra Serif"/>
          <w:sz w:val="26"/>
        </w:rPr>
      </w:pPr>
      <w:r>
        <w:rPr>
          <w:rFonts w:ascii="PT Astra Serif" w:hAnsi="PT Astra Serif" w:cs="PT Astra Serif"/>
          <w:sz w:val="26"/>
        </w:rPr>
        <w:t>21</w:t>
      </w:r>
      <w:bookmarkStart w:id="27" w:name="_ref_1-61b209f830324d"/>
      <w:r>
        <w:rPr>
          <w:rFonts w:ascii="PT Astra Serif" w:hAnsi="PT Astra Serif" w:cs="PT Astra Serif"/>
          <w:sz w:val="26"/>
        </w:rPr>
        <w:t xml:space="preserve">. Срок полезного использования объекта основных средств определяется исходя из ожидаемого срока получения экономических выгод и (или) полезного потенциала, заключенного в активе, а также включенных в документацию к активу рекомендаций производителя в порядке, установленном </w:t>
      </w:r>
      <w:hyperlink r:id="rId89" w:tgtFrame="https://cloud.consultant.ru/cloud/cgi/online.cgi?req=doc&amp;amp;base=LAW&amp;amp;n=216119&amp;amp;fld=134&amp;amp;dst=100162&amp;amp;last=1">
        <w:r>
          <w:rPr>
            <w:rStyle w:val="af0"/>
            <w:rFonts w:ascii="PT Astra Serif" w:hAnsi="PT Astra Serif" w:cs="PT Astra Serif"/>
            <w:sz w:val="26"/>
            <w:u w:val="none"/>
          </w:rPr>
          <w:t>п. 35</w:t>
        </w:r>
      </w:hyperlink>
      <w:r>
        <w:rPr>
          <w:rFonts w:ascii="PT Astra Serif" w:hAnsi="PT Astra Serif" w:cs="PT Astra Serif"/>
          <w:sz w:val="26"/>
        </w:rPr>
        <w:t xml:space="preserve"> СГС "Основные средства".</w:t>
      </w:r>
      <w:bookmarkEnd w:id="26"/>
    </w:p>
    <w:p w:rsidR="00F06D11" w:rsidRDefault="0038137D">
      <w:pPr>
        <w:pStyle w:val="2"/>
        <w:tabs>
          <w:tab w:val="clear" w:pos="0"/>
        </w:tabs>
        <w:spacing w:line="240" w:lineRule="auto"/>
        <w:ind w:firstLine="709"/>
        <w:contextualSpacing/>
        <w:rPr>
          <w:rFonts w:ascii="PT Astra Serif" w:hAnsi="PT Astra Serif" w:cs="PT Astra Serif"/>
          <w:sz w:val="26"/>
        </w:rPr>
      </w:pPr>
      <w:bookmarkStart w:id="28" w:name="_ref_1-613492489f3f47"/>
      <w:r>
        <w:rPr>
          <w:rFonts w:ascii="PT Astra Serif" w:hAnsi="PT Astra Serif" w:cs="PT Astra Serif"/>
          <w:sz w:val="26"/>
        </w:rPr>
        <w:t>22. Амортизация по всем основным средствам начисляется линейным методом.</w:t>
      </w:r>
      <w:bookmarkEnd w:id="28"/>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23. Структурная часть объекта основных средств, которая имеет срок полезного использования, существенно отличающийся от сроков полезного использования других частей этого же объекта, и стоимость, составляющую значительную величину от его общей стоимости, учитывается как самостоятельный инвентарный объект.</w:t>
      </w:r>
      <w:bookmarkEnd w:id="27"/>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w:t>
      </w:r>
      <w:hyperlink r:id="rId90" w:tgtFrame="https://cloud.consultant.ru/cloud/cgi/online.cgi?req=doc&amp;amp;base=LAW&amp;amp;n=297398&amp;amp;fld=134&amp;amp;dst=1000000001&amp;amp;last=1">
        <w:r>
          <w:rPr>
            <w:rStyle w:val="af0"/>
            <w:rFonts w:ascii="PT Astra Serif" w:hAnsi="PT Astra Serif" w:cs="PT Astra Serif"/>
            <w:color w:val="auto"/>
            <w:sz w:val="26"/>
            <w:u w:val="none"/>
          </w:rPr>
          <w:t>Постановлении</w:t>
        </w:r>
      </w:hyperlink>
      <w:r>
        <w:rPr>
          <w:rFonts w:ascii="PT Astra Serif" w:hAnsi="PT Astra Serif" w:cs="PT Astra Serif"/>
          <w:sz w:val="26"/>
        </w:rPr>
        <w:t xml:space="preserve"> Правительства Российской Федерации от 01.01.2002 № 1.</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Для целей настоящего пункта стоимость структурной части объекта основных средств считается значительной, если она составляет не менее 10% его общей стоимости.</w:t>
      </w:r>
    </w:p>
    <w:p w:rsidR="00F06D11" w:rsidRDefault="0038137D">
      <w:pPr>
        <w:pStyle w:val="2"/>
        <w:tabs>
          <w:tab w:val="clear" w:pos="0"/>
        </w:tabs>
        <w:spacing w:line="240" w:lineRule="auto"/>
        <w:ind w:firstLine="709"/>
        <w:contextualSpacing/>
        <w:rPr>
          <w:rFonts w:ascii="PT Astra Serif" w:hAnsi="PT Astra Serif" w:cs="PT Astra Serif"/>
          <w:sz w:val="26"/>
        </w:rPr>
      </w:pPr>
      <w:bookmarkStart w:id="29" w:name="_ref_1-3d6d441f71894d"/>
      <w:r>
        <w:rPr>
          <w:rFonts w:ascii="PT Astra Serif" w:hAnsi="PT Astra Serif" w:cs="PT Astra Serif"/>
          <w:sz w:val="26"/>
        </w:rPr>
        <w:t>24. Отдельными инвентарными объектами являются:</w:t>
      </w:r>
      <w:bookmarkEnd w:id="29"/>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принтеры;</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сканеры;</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приборы (аппаратура) пожарной сигнализации;</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приборы (аппаратура) охранной сигнализации.</w:t>
      </w:r>
    </w:p>
    <w:p w:rsidR="00F06D11" w:rsidRDefault="0038137D">
      <w:pPr>
        <w:pStyle w:val="2"/>
        <w:tabs>
          <w:tab w:val="clear" w:pos="0"/>
        </w:tabs>
        <w:spacing w:line="240" w:lineRule="auto"/>
        <w:ind w:firstLine="709"/>
        <w:contextualSpacing/>
        <w:rPr>
          <w:rFonts w:ascii="PT Astra Serif" w:hAnsi="PT Astra Serif" w:cs="PT Astra Serif"/>
          <w:sz w:val="26"/>
        </w:rPr>
      </w:pPr>
      <w:bookmarkStart w:id="30" w:name="_ref_1-a6fe94a49f1a4a"/>
      <w:r>
        <w:rPr>
          <w:rFonts w:ascii="PT Astra Serif" w:hAnsi="PT Astra Serif" w:cs="PT Astra Serif"/>
          <w:sz w:val="26"/>
        </w:rPr>
        <w:t>25. Объекты основных средств, признаваемые комплексом, не объединяются в один инвентарный объект</w:t>
      </w:r>
      <w:bookmarkEnd w:id="30"/>
      <w:r>
        <w:rPr>
          <w:rFonts w:ascii="PT Astra Serif" w:hAnsi="PT Astra Serif" w:cs="PT Astra Serif"/>
          <w:sz w:val="26"/>
        </w:rPr>
        <w:t>.</w:t>
      </w:r>
    </w:p>
    <w:p w:rsidR="00F06D11" w:rsidRDefault="0038137D">
      <w:pPr>
        <w:pStyle w:val="2"/>
        <w:tabs>
          <w:tab w:val="clear" w:pos="0"/>
        </w:tabs>
        <w:spacing w:line="240" w:lineRule="auto"/>
        <w:ind w:firstLine="709"/>
        <w:contextualSpacing/>
        <w:rPr>
          <w:rFonts w:ascii="PT Astra Serif" w:hAnsi="PT Astra Serif" w:cs="PT Astra Serif"/>
          <w:sz w:val="26"/>
        </w:rPr>
      </w:pPr>
      <w:bookmarkStart w:id="31" w:name="_ref_1-19c2343a5fcb48"/>
      <w:r>
        <w:rPr>
          <w:rFonts w:ascii="PT Astra Serif" w:hAnsi="PT Astra Serif" w:cs="PT Astra Serif"/>
          <w:sz w:val="26"/>
        </w:rPr>
        <w:t>26. В целях получения дополнительных данных для раскрытия показателей отчетности устанавливаются следующие объекты аналитического учета:</w:t>
      </w:r>
      <w:bookmarkEnd w:id="31"/>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1) в эксплуатации;</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2) в запасе;</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3) на консервации.</w:t>
      </w:r>
    </w:p>
    <w:p w:rsidR="00F06D11" w:rsidRDefault="0038137D">
      <w:pPr>
        <w:pStyle w:val="2"/>
        <w:tabs>
          <w:tab w:val="clear" w:pos="0"/>
        </w:tabs>
        <w:spacing w:line="240" w:lineRule="auto"/>
        <w:ind w:firstLine="709"/>
        <w:contextualSpacing/>
        <w:rPr>
          <w:rFonts w:ascii="PT Astra Serif" w:hAnsi="PT Astra Serif" w:cs="PT Astra Serif"/>
          <w:sz w:val="26"/>
        </w:rPr>
      </w:pPr>
      <w:bookmarkStart w:id="32" w:name="_ref_1-21295783878b43"/>
      <w:r>
        <w:rPr>
          <w:rFonts w:ascii="PT Astra Serif" w:hAnsi="PT Astra Serif" w:cs="PT Astra Serif"/>
          <w:sz w:val="26"/>
        </w:rPr>
        <w:t>27. Инвентарные номера, присвоенные объекту основных средств до 01.03.2025, остаются неизменными. С 01.03.2025 каждому инвентарному объекту основных средств присваиваются инвентарные номера, состоящие из 10 знаков</w:t>
      </w:r>
      <w:bookmarkEnd w:id="32"/>
      <w:r>
        <w:rPr>
          <w:rFonts w:ascii="PT Astra Serif" w:hAnsi="PT Astra Serif" w:cs="PT Astra Serif"/>
          <w:sz w:val="26"/>
        </w:rPr>
        <w:t>. 1-10 разряды - порядковый номер нефинансового актива. Инвентарные номера по объектам основных средств, принятым на безвозмездной основе или полученным от других организаций с ранее присвоенными инвентарными номерами, остаются неизменными.</w:t>
      </w:r>
    </w:p>
    <w:p w:rsidR="00F06D11" w:rsidRDefault="0038137D">
      <w:pPr>
        <w:pStyle w:val="2"/>
        <w:tabs>
          <w:tab w:val="clear" w:pos="0"/>
        </w:tabs>
        <w:spacing w:line="240" w:lineRule="auto"/>
        <w:ind w:firstLine="709"/>
        <w:contextualSpacing/>
        <w:rPr>
          <w:rFonts w:ascii="PT Astra Serif" w:hAnsi="PT Astra Serif" w:cs="PT Astra Serif"/>
          <w:sz w:val="26"/>
        </w:rPr>
      </w:pPr>
      <w:bookmarkStart w:id="33" w:name="_ref_1-a94aabf2e6f546"/>
      <w:r>
        <w:rPr>
          <w:rFonts w:ascii="PT Astra Serif" w:hAnsi="PT Astra Serif" w:cs="PT Astra Serif"/>
          <w:sz w:val="26"/>
        </w:rPr>
        <w:t>28. Инвентарный номер наносится:</w:t>
      </w:r>
      <w:bookmarkEnd w:id="33"/>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1) на объекты недвижимого имущества - несмываемой краской;</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2) на объекты движимого имущества - на бумажной наклейке.</w:t>
      </w:r>
    </w:p>
    <w:p w:rsidR="00F06D11" w:rsidRDefault="0038137D">
      <w:pPr>
        <w:pStyle w:val="2"/>
        <w:tabs>
          <w:tab w:val="clear" w:pos="0"/>
        </w:tabs>
        <w:spacing w:line="240" w:lineRule="auto"/>
        <w:ind w:firstLine="709"/>
        <w:contextualSpacing/>
        <w:rPr>
          <w:rFonts w:ascii="PT Astra Serif" w:hAnsi="PT Astra Serif" w:cs="PT Astra Serif"/>
          <w:sz w:val="26"/>
        </w:rPr>
      </w:pPr>
      <w:bookmarkStart w:id="34" w:name="_ref_1-5d585276168d49"/>
      <w:r>
        <w:rPr>
          <w:rFonts w:ascii="PT Astra Serif" w:hAnsi="PT Astra Serif" w:cs="PT Astra Serif"/>
          <w:sz w:val="26"/>
        </w:rPr>
        <w:t xml:space="preserve">29. Основные средства, выявленные при инвентаризации, принимаются к учету по справедливой стоимости, определенной комиссией по поступлению и выбытию </w:t>
      </w:r>
      <w:bookmarkEnd w:id="34"/>
      <w:r>
        <w:rPr>
          <w:rFonts w:ascii="PT Astra Serif" w:hAnsi="PT Astra Serif" w:cs="PT Astra Serif"/>
          <w:sz w:val="26"/>
        </w:rPr>
        <w:t>активов, методом рыночных цен.</w:t>
      </w:r>
    </w:p>
    <w:p w:rsidR="00F06D11" w:rsidRDefault="0038137D">
      <w:pPr>
        <w:pStyle w:val="2"/>
        <w:tabs>
          <w:tab w:val="clear" w:pos="0"/>
        </w:tabs>
        <w:spacing w:line="240" w:lineRule="auto"/>
        <w:ind w:firstLine="709"/>
        <w:contextualSpacing/>
        <w:rPr>
          <w:rFonts w:ascii="PT Astra Serif" w:hAnsi="PT Astra Serif" w:cs="PT Astra Serif"/>
          <w:sz w:val="26"/>
        </w:rPr>
      </w:pPr>
      <w:bookmarkStart w:id="35" w:name="_ref_1-8577d33ccc4847"/>
      <w:r>
        <w:rPr>
          <w:rFonts w:ascii="PT Astra Serif" w:hAnsi="PT Astra Serif" w:cs="PT Astra Serif"/>
          <w:sz w:val="26"/>
        </w:rPr>
        <w:t>30. Балансовая стоимость объекта основных средств вида "Здания" увеличивается на стоимость затрат по замене его отдельных составных частей в случае модернизации при условии, что такие составные части в соответствии с критериями признания объекта основных средств признаются активом и согласно порядку эксплуатации объекта требуется такая замена, в том числе в ходе капитального ремонта.</w:t>
      </w:r>
      <w:bookmarkEnd w:id="35"/>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Одновременно балансовая стоимость этого объекта корректируется (уменьшается) на стоимость выбывающих (заменяемых) частей.</w:t>
      </w:r>
    </w:p>
    <w:p w:rsidR="00F06D11" w:rsidRDefault="0038137D">
      <w:pPr>
        <w:pStyle w:val="2"/>
        <w:tabs>
          <w:tab w:val="clear" w:pos="0"/>
        </w:tabs>
        <w:spacing w:line="240" w:lineRule="auto"/>
        <w:ind w:firstLine="709"/>
        <w:contextualSpacing/>
        <w:rPr>
          <w:rFonts w:ascii="PT Astra Serif" w:hAnsi="PT Astra Serif" w:cs="PT Astra Serif"/>
          <w:sz w:val="26"/>
        </w:rPr>
      </w:pPr>
      <w:bookmarkStart w:id="36" w:name="_ref_1-4887d0f424774e"/>
      <w:r>
        <w:rPr>
          <w:rFonts w:ascii="PT Astra Serif" w:hAnsi="PT Astra Serif" w:cs="PT Astra Serif"/>
          <w:sz w:val="26"/>
        </w:rPr>
        <w:t>31. Балансовая стоимость объекта основных средств увеличивается в случаях проведения:</w:t>
      </w:r>
      <w:bookmarkEnd w:id="36"/>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1) обязательных регулярных осмотров на предмет наличия дефектов;</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2) ремонтов, достройки, дооборудования, реконструкции, в том числе с элементами реставрации, технического перевооружения, модернизации, частичной ликвидации (разукомплектации).</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32. Балансовая стоимость основного средства увеличивается на сумму сформированных капитальных вложений в этот объект и только при условии выполнения критериев признания объектов основных средств.</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33. При этом ранее учтенная в стоимости объекта основных средств сумма затрат на проведение аналогичных мероприятий подлежит списанию с учетом накопленной амортизации.</w:t>
      </w:r>
    </w:p>
    <w:p w:rsidR="00F06D11" w:rsidRDefault="0038137D">
      <w:pPr>
        <w:pStyle w:val="2"/>
        <w:tabs>
          <w:tab w:val="clear" w:pos="0"/>
        </w:tabs>
        <w:spacing w:before="6" w:after="6" w:line="240" w:lineRule="auto"/>
        <w:ind w:firstLine="709"/>
        <w:contextualSpacing/>
        <w:rPr>
          <w:rFonts w:ascii="PT Astra Serif" w:hAnsi="PT Astra Serif" w:cs="PT Astra Serif"/>
          <w:sz w:val="26"/>
        </w:rPr>
      </w:pPr>
      <w:bookmarkStart w:id="37" w:name="_ref_1-9d2c07ccd3424c"/>
      <w:r>
        <w:rPr>
          <w:rFonts w:ascii="PT Astra Serif" w:hAnsi="PT Astra Serif" w:cs="PT Astra Serif"/>
          <w:sz w:val="26"/>
        </w:rPr>
        <w:t>34. Стоимость основного средства изменяется в случае проведения переоценки этого основного средства и отражения ее результатов в учете.</w:t>
      </w:r>
      <w:bookmarkEnd w:id="37"/>
    </w:p>
    <w:p w:rsidR="00F06D11" w:rsidRDefault="0038137D">
      <w:pPr>
        <w:pStyle w:val="2"/>
        <w:tabs>
          <w:tab w:val="clear" w:pos="0"/>
        </w:tabs>
        <w:spacing w:before="6" w:after="6" w:line="240" w:lineRule="auto"/>
        <w:ind w:firstLine="709"/>
        <w:contextualSpacing/>
        <w:rPr>
          <w:rFonts w:ascii="PT Astra Serif" w:hAnsi="PT Astra Serif" w:cs="PT Astra Serif"/>
          <w:sz w:val="26"/>
        </w:rPr>
      </w:pPr>
      <w:bookmarkStart w:id="38" w:name="_ref_1-907e8670e4894a"/>
      <w:bookmarkStart w:id="39" w:name="_ref_1-4b50ebb5e14542"/>
      <w:r>
        <w:rPr>
          <w:rFonts w:ascii="PT Astra Serif" w:hAnsi="PT Astra Serif" w:cs="PT Astra Serif"/>
          <w:sz w:val="26"/>
        </w:rPr>
        <w:t>35. При отражении результатов переоценки производится пересчет накопленной амортизации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w:t>
      </w:r>
      <w:bookmarkEnd w:id="38"/>
    </w:p>
    <w:p w:rsidR="00F06D11" w:rsidRDefault="0038137D">
      <w:pPr>
        <w:pStyle w:val="2"/>
        <w:tabs>
          <w:tab w:val="clear" w:pos="0"/>
        </w:tabs>
        <w:spacing w:before="6" w:after="6" w:line="240" w:lineRule="auto"/>
        <w:ind w:firstLine="709"/>
        <w:contextualSpacing/>
        <w:rPr>
          <w:rFonts w:ascii="PT Astra Serif" w:hAnsi="PT Astra Serif" w:cs="PT Astra Serif"/>
          <w:sz w:val="26"/>
        </w:rPr>
      </w:pPr>
      <w:bookmarkStart w:id="40" w:name="_ref_1-f5a32730226548"/>
      <w:bookmarkStart w:id="41" w:name="_ref_1-4574b126cad04c"/>
      <w:r>
        <w:rPr>
          <w:rFonts w:ascii="PT Astra Serif" w:hAnsi="PT Astra Serif" w:cs="PT Astra Serif"/>
          <w:sz w:val="26"/>
        </w:rPr>
        <w:t>36. Ответственным за хранение документов производителя, входящих в комплектацию объекта основных средств (технической документации, гарантийных талонов), является ответственное лицо, за которым закреплено основное средство.</w:t>
      </w:r>
      <w:bookmarkEnd w:id="40"/>
    </w:p>
    <w:p w:rsidR="00F06D11" w:rsidRDefault="0038137D">
      <w:pPr>
        <w:pStyle w:val="2"/>
        <w:tabs>
          <w:tab w:val="clear" w:pos="0"/>
        </w:tabs>
        <w:spacing w:before="6" w:after="6" w:line="240" w:lineRule="auto"/>
        <w:ind w:firstLine="709"/>
        <w:contextualSpacing/>
        <w:rPr>
          <w:rFonts w:ascii="PT Astra Serif" w:hAnsi="PT Astra Serif" w:cs="PT Astra Serif"/>
          <w:sz w:val="26"/>
        </w:rPr>
      </w:pPr>
      <w:bookmarkStart w:id="42" w:name="_ref_1-91cd04e697ec46"/>
      <w:r>
        <w:rPr>
          <w:rFonts w:ascii="PT Astra Serif" w:hAnsi="PT Astra Serif" w:cs="PT Astra Serif"/>
          <w:sz w:val="26"/>
        </w:rPr>
        <w:t>37. Безвозмездная передача объектов основных средств оформляется Актом о приеме-передаче по форме согласно приложению № 2 к настоящей Учетной политике.</w:t>
      </w:r>
      <w:bookmarkEnd w:id="39"/>
    </w:p>
    <w:p w:rsidR="00F06D11" w:rsidRDefault="0038137D">
      <w:pPr>
        <w:pStyle w:val="2"/>
        <w:tabs>
          <w:tab w:val="clear" w:pos="0"/>
        </w:tabs>
        <w:spacing w:line="240" w:lineRule="auto"/>
        <w:ind w:firstLine="709"/>
        <w:contextualSpacing/>
        <w:rPr>
          <w:rFonts w:ascii="PT Astra Serif" w:hAnsi="PT Astra Serif" w:cs="PT Astra Serif"/>
          <w:sz w:val="26"/>
        </w:rPr>
      </w:pPr>
      <w:bookmarkStart w:id="43" w:name="_ref_1-67f464a30b6e41"/>
      <w:r>
        <w:rPr>
          <w:rFonts w:ascii="PT Astra Serif" w:hAnsi="PT Astra Serif" w:cs="PT Astra Serif"/>
          <w:sz w:val="26"/>
        </w:rPr>
        <w:t>38. При приобретении основных средств оформляется Акт о приеме-передаче объектов нефинансовых активов (</w:t>
      </w:r>
      <w:hyperlink r:id="rId91" w:tgtFrame="https://cloud.consultant.ru/cloud/cgi/online.cgi?req=doc&amp;amp;base=LAW&amp;amp;n=424146&amp;amp;fld=134&amp;amp;dst=1244&amp;amp;date=11.01.2023&amp;amp;last=1">
        <w:r>
          <w:rPr>
            <w:rStyle w:val="af0"/>
            <w:rFonts w:ascii="PT Astra Serif" w:hAnsi="PT Astra Serif" w:cs="PT Astra Serif"/>
            <w:color w:val="auto"/>
            <w:sz w:val="26"/>
            <w:u w:val="none"/>
          </w:rPr>
          <w:t>ф. 0510448</w:t>
        </w:r>
      </w:hyperlink>
      <w:r>
        <w:rPr>
          <w:rFonts w:ascii="PT Astra Serif" w:hAnsi="PT Astra Serif" w:cs="PT Astra Serif"/>
          <w:sz w:val="26"/>
        </w:rPr>
        <w:t>).</w:t>
      </w:r>
      <w:bookmarkEnd w:id="41"/>
    </w:p>
    <w:p w:rsidR="00F06D11" w:rsidRDefault="0038137D">
      <w:pPr>
        <w:pStyle w:val="2"/>
        <w:tabs>
          <w:tab w:val="clear" w:pos="0"/>
        </w:tabs>
        <w:spacing w:before="0" w:after="0" w:line="240" w:lineRule="auto"/>
        <w:ind w:firstLine="709"/>
        <w:contextualSpacing/>
        <w:rPr>
          <w:rFonts w:ascii="PT Astra Serif" w:eastAsia="PT Astra Serif" w:hAnsi="PT Astra Serif" w:cs="PT Astra Serif"/>
          <w:sz w:val="26"/>
        </w:rPr>
      </w:pPr>
      <w:r>
        <w:rPr>
          <w:rFonts w:ascii="PT Astra Serif" w:hAnsi="PT Astra Serif" w:cs="PT Astra Serif"/>
          <w:sz w:val="26"/>
        </w:rPr>
        <w:t>39. Частичная ликвидация объекта основных средств при его реконструкции (ремонте, модернизации) оформляется Актом приема-сдачи отремонтированных, реконструированных и модернизированных объектов основных средств (</w:t>
      </w:r>
      <w:hyperlink r:id="rId92" w:tgtFrame="https://cloud.consultant.ru/cloud/cgi/online.cgi?req=doc&amp;amp;base=LAW&amp;amp;n=285455&amp;amp;fld=134&amp;amp;dst=100301&amp;amp;last=1">
        <w:r>
          <w:rPr>
            <w:rStyle w:val="af0"/>
            <w:rFonts w:ascii="PT Astra Serif" w:hAnsi="PT Astra Serif" w:cs="PT Astra Serif"/>
            <w:color w:val="auto"/>
            <w:sz w:val="26"/>
            <w:u w:val="none"/>
          </w:rPr>
          <w:t>ф. 0504103</w:t>
        </w:r>
      </w:hyperlink>
      <w:r>
        <w:rPr>
          <w:rFonts w:ascii="PT Astra Serif" w:hAnsi="PT Astra Serif" w:cs="PT Astra Serif"/>
          <w:sz w:val="26"/>
        </w:rPr>
        <w:t>). В иных случаях частичная ликвидация объекта основных средств оформляется Актом по форме согласно приложению № 2 к настоящей Учетной политике.</w:t>
      </w:r>
      <w:bookmarkEnd w:id="42"/>
    </w:p>
    <w:p w:rsidR="00F06D11" w:rsidRDefault="00F06D11">
      <w:pPr>
        <w:spacing w:before="0" w:after="0"/>
      </w:pPr>
    </w:p>
    <w:p w:rsidR="00F06D11" w:rsidRDefault="0038137D">
      <w:pPr>
        <w:pStyle w:val="2"/>
        <w:tabs>
          <w:tab w:val="clear" w:pos="0"/>
        </w:tabs>
        <w:spacing w:before="0" w:after="0" w:line="240" w:lineRule="auto"/>
        <w:ind w:firstLine="709"/>
        <w:contextualSpacing/>
        <w:rPr>
          <w:rFonts w:ascii="PT Astra Serif" w:hAnsi="PT Astra Serif" w:cs="PT Astra Serif"/>
          <w:sz w:val="26"/>
        </w:rPr>
      </w:pPr>
      <w:r>
        <w:rPr>
          <w:rFonts w:ascii="PT Astra Serif" w:eastAsia="PT Astra Serif" w:hAnsi="PT Astra Serif" w:cs="PT Astra Serif"/>
          <w:sz w:val="26"/>
        </w:rPr>
        <w:t xml:space="preserve">                                              </w:t>
      </w:r>
      <w:r>
        <w:rPr>
          <w:rFonts w:ascii="PT Astra Serif" w:hAnsi="PT Astra Serif" w:cs="PT Astra Serif"/>
          <w:sz w:val="26"/>
        </w:rPr>
        <w:t>ГЛАВА 6. Нематериальные активы</w:t>
      </w:r>
      <w:bookmarkEnd w:id="43"/>
    </w:p>
    <w:p w:rsidR="00F06D11" w:rsidRDefault="00F06D11">
      <w:pPr>
        <w:spacing w:before="0" w:after="0"/>
      </w:pPr>
    </w:p>
    <w:p w:rsidR="00F06D11" w:rsidRDefault="0038137D">
      <w:pPr>
        <w:pStyle w:val="2"/>
        <w:tabs>
          <w:tab w:val="clear" w:pos="0"/>
        </w:tabs>
        <w:spacing w:before="0" w:after="0" w:line="240" w:lineRule="auto"/>
        <w:ind w:firstLine="709"/>
        <w:contextualSpacing/>
        <w:rPr>
          <w:rFonts w:ascii="PT Astra Serif" w:hAnsi="PT Astra Serif" w:cs="PT Astra Serif"/>
          <w:sz w:val="26"/>
        </w:rPr>
      </w:pPr>
      <w:bookmarkStart w:id="44" w:name="_ref_1-876eb75286594d"/>
      <w:r>
        <w:rPr>
          <w:rFonts w:ascii="PT Astra Serif" w:hAnsi="PT Astra Serif" w:cs="PT Astra Serif"/>
          <w:sz w:val="26"/>
        </w:rPr>
        <w:t>40. В составе нематериальных активов учитываются объекты, соответствующие критериям признания в качестве нематериальных активов, в частности исключительные права на результаты интеллектуальной деятельности и средства индивидуализации.</w:t>
      </w:r>
      <w:bookmarkEnd w:id="44"/>
    </w:p>
    <w:p w:rsidR="00F06D11" w:rsidRDefault="0038137D">
      <w:pPr>
        <w:pStyle w:val="2"/>
        <w:tabs>
          <w:tab w:val="clear" w:pos="0"/>
        </w:tabs>
        <w:spacing w:line="240" w:lineRule="auto"/>
        <w:ind w:firstLine="709"/>
        <w:contextualSpacing/>
        <w:rPr>
          <w:rFonts w:ascii="PT Astra Serif" w:hAnsi="PT Astra Serif" w:cs="PT Astra Serif"/>
          <w:sz w:val="26"/>
        </w:rPr>
      </w:pPr>
      <w:bookmarkStart w:id="45" w:name="_ref_1-d830688800d04f"/>
      <w:r>
        <w:rPr>
          <w:rFonts w:ascii="PT Astra Serif" w:hAnsi="PT Astra Serif" w:cs="PT Astra Serif"/>
          <w:sz w:val="26"/>
        </w:rPr>
        <w:t>41. Объект признается нематериальным активом при одновременном выполнении следующих условий:</w:t>
      </w:r>
      <w:bookmarkEnd w:id="45"/>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1) объект способен приносить экономические выгоды в будущем;</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2)  у него отсутствует материально-вещественная форма;</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3)  объект можно идентифицировать;</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4)  объект предназначен для использования в течение длительного времени, то есть свыше 12 месяцев или обычного операционного цикла, если он превышает 12 месяцев;</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5) не предполагается последующая перепродажа данного актива;</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6) имеются надлежаще оформленные документы, устанавливающие исключительное право на актив.</w:t>
      </w:r>
    </w:p>
    <w:p w:rsidR="00F06D11" w:rsidRDefault="0038137D">
      <w:pPr>
        <w:pStyle w:val="2"/>
        <w:tabs>
          <w:tab w:val="clear" w:pos="0"/>
        </w:tabs>
        <w:spacing w:line="240" w:lineRule="auto"/>
        <w:ind w:firstLine="709"/>
        <w:contextualSpacing/>
        <w:rPr>
          <w:rFonts w:ascii="PT Astra Serif" w:hAnsi="PT Astra Serif" w:cs="PT Astra Serif"/>
          <w:sz w:val="26"/>
        </w:rPr>
      </w:pPr>
      <w:bookmarkStart w:id="46" w:name="_ref_1-1c6787f5fc6449"/>
      <w:bookmarkStart w:id="47" w:name="_ref_1-85629c26479c47"/>
      <w:r>
        <w:rPr>
          <w:rFonts w:ascii="PT Astra Serif" w:hAnsi="PT Astra Serif" w:cs="PT Astra Serif"/>
          <w:sz w:val="26"/>
        </w:rPr>
        <w:t>42. Срок полезного использования нематериального актива определяется исходя из ожидаемого срока получения экономических выгод и (или) полезного потенциала, заключенного в нем, срока действия прав на актив и контроля над ним, документальных ограничений срока его использования, а также срока полезного использования непосредственно связанного с ним иного актива.</w:t>
      </w:r>
      <w:bookmarkEnd w:id="46"/>
    </w:p>
    <w:p w:rsidR="00F06D11" w:rsidRDefault="0038137D">
      <w:pPr>
        <w:pStyle w:val="2"/>
        <w:tabs>
          <w:tab w:val="clear" w:pos="0"/>
        </w:tabs>
        <w:spacing w:line="240" w:lineRule="auto"/>
        <w:ind w:firstLine="709"/>
        <w:contextualSpacing/>
        <w:rPr>
          <w:rFonts w:ascii="PT Astra Serif" w:hAnsi="PT Astra Serif" w:cs="PT Astra Serif"/>
          <w:sz w:val="26"/>
        </w:rPr>
      </w:pPr>
      <w:bookmarkStart w:id="48" w:name="_ref_1-18f7f92c96c744"/>
      <w:bookmarkStart w:id="49" w:name="_ref_1-a661337de34b44"/>
      <w:r>
        <w:rPr>
          <w:rFonts w:ascii="PT Astra Serif" w:hAnsi="PT Astra Serif" w:cs="PT Astra Serif"/>
          <w:sz w:val="26"/>
        </w:rPr>
        <w:t>43.Амортизация по всем нематериальным активам начисляется линейным методом.</w:t>
      </w:r>
      <w:bookmarkEnd w:id="48"/>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44. Срок полезного использования объекта нематериальных активов устанавливается исходя из срока, в течение которого соблюдается конфиденциальность сведений в отношении такого объекта, в том числе путем введения режима коммерческой тайны.</w:t>
      </w:r>
      <w:bookmarkEnd w:id="47"/>
    </w:p>
    <w:p w:rsidR="00F06D11" w:rsidRDefault="0038137D">
      <w:pPr>
        <w:pStyle w:val="2"/>
        <w:tabs>
          <w:tab w:val="clear" w:pos="0"/>
        </w:tabs>
        <w:spacing w:before="0" w:after="0" w:line="240" w:lineRule="auto"/>
        <w:ind w:firstLine="709"/>
        <w:contextualSpacing/>
        <w:rPr>
          <w:rFonts w:ascii="PT Astra Serif" w:eastAsia="PT Astra Serif" w:hAnsi="PT Astra Serif" w:cs="PT Astra Serif"/>
          <w:sz w:val="26"/>
        </w:rPr>
      </w:pPr>
      <w:r>
        <w:rPr>
          <w:rFonts w:ascii="PT Astra Serif" w:hAnsi="PT Astra Serif" w:cs="PT Astra Serif"/>
          <w:sz w:val="26"/>
        </w:rPr>
        <w:t>Если срок охраны конфиденциальности не установлен, в учете возникает объект нематериальных активов</w:t>
      </w:r>
      <w:hyperlink r:id="rId93" w:tgtFrame="https://cloud.consultant.ru/cloud/cgi/online.cgi?req=doc&amp;amp;base=LAW&amp;amp;n=339419&amp;amp;fld=134&amp;amp;dst=100038&amp;amp;date=08.08.2025&amp;amp;last=1">
        <w:r>
          <w:rPr>
            <w:rStyle w:val="af0"/>
            <w:rFonts w:ascii="PT Astra Serif" w:hAnsi="PT Astra Serif" w:cs="PT Astra Serif"/>
            <w:color w:val="auto"/>
            <w:sz w:val="26"/>
            <w:u w:val="none"/>
          </w:rPr>
          <w:t xml:space="preserve"> с неопределенным сроком полезного использования</w:t>
        </w:r>
      </w:hyperlink>
      <w:r>
        <w:rPr>
          <w:rFonts w:ascii="PT Astra Serif" w:hAnsi="PT Astra Serif" w:cs="PT Astra Serif"/>
          <w:sz w:val="26"/>
        </w:rPr>
        <w:t>.</w:t>
      </w:r>
    </w:p>
    <w:p w:rsidR="00F06D11" w:rsidRDefault="00F06D11">
      <w:pPr>
        <w:spacing w:before="0" w:after="0"/>
      </w:pPr>
    </w:p>
    <w:p w:rsidR="00F06D11" w:rsidRDefault="0038137D">
      <w:pPr>
        <w:pStyle w:val="2"/>
        <w:tabs>
          <w:tab w:val="clear" w:pos="0"/>
        </w:tabs>
        <w:spacing w:before="0" w:after="0" w:line="240" w:lineRule="auto"/>
        <w:ind w:firstLine="709"/>
        <w:contextualSpacing/>
        <w:rPr>
          <w:rFonts w:ascii="PT Astra Serif" w:hAnsi="PT Astra Serif" w:cs="PT Astra Serif"/>
          <w:sz w:val="26"/>
        </w:rPr>
      </w:pPr>
      <w:r>
        <w:rPr>
          <w:rFonts w:ascii="PT Astra Serif" w:eastAsia="PT Astra Serif" w:hAnsi="PT Astra Serif" w:cs="PT Astra Serif"/>
          <w:sz w:val="26"/>
        </w:rPr>
        <w:t xml:space="preserve">                                      </w:t>
      </w:r>
      <w:r>
        <w:rPr>
          <w:rFonts w:ascii="PT Astra Serif" w:hAnsi="PT Astra Serif" w:cs="PT Astra Serif"/>
          <w:sz w:val="26"/>
        </w:rPr>
        <w:t>ГЛАВА 7. Непроизведенные активы</w:t>
      </w:r>
      <w:bookmarkEnd w:id="49"/>
    </w:p>
    <w:p w:rsidR="00F06D11" w:rsidRDefault="00F06D11">
      <w:pPr>
        <w:spacing w:before="0" w:after="0"/>
      </w:pPr>
    </w:p>
    <w:p w:rsidR="00F06D11" w:rsidRDefault="0038137D">
      <w:pPr>
        <w:pStyle w:val="2"/>
        <w:tabs>
          <w:tab w:val="clear" w:pos="0"/>
        </w:tabs>
        <w:spacing w:before="0" w:after="0" w:line="240" w:lineRule="auto"/>
        <w:ind w:firstLine="709"/>
        <w:contextualSpacing/>
        <w:rPr>
          <w:rFonts w:ascii="PT Astra Serif" w:hAnsi="PT Astra Serif" w:cs="PT Astra Serif"/>
          <w:sz w:val="26"/>
        </w:rPr>
      </w:pPr>
      <w:bookmarkStart w:id="50" w:name="_ref_1-ed50949e39484b"/>
      <w:r>
        <w:rPr>
          <w:rFonts w:ascii="PT Astra Serif" w:hAnsi="PT Astra Serif" w:cs="PT Astra Serif"/>
          <w:sz w:val="26"/>
        </w:rPr>
        <w:t>45. Непроизведенными активами признаются используемые в процессе деятельности объекты нефинансовых активов, не являющиеся продуктами производства, вещное право на которые закреплено в соответствии с законодательством (например, земля, недра), а также земельные участки, государственная собственность на которые не разграничена, сведения о которых внесены в Единый государственный реестр недвижимости.</w:t>
      </w:r>
      <w:bookmarkEnd w:id="50"/>
    </w:p>
    <w:p w:rsidR="00F06D11" w:rsidRDefault="0038137D">
      <w:pPr>
        <w:pStyle w:val="2"/>
        <w:tabs>
          <w:tab w:val="clear" w:pos="0"/>
        </w:tabs>
        <w:spacing w:line="240" w:lineRule="auto"/>
        <w:ind w:firstLine="709"/>
        <w:contextualSpacing/>
        <w:rPr>
          <w:rFonts w:ascii="PT Astra Serif" w:hAnsi="PT Astra Serif" w:cs="PT Astra Serif"/>
          <w:sz w:val="26"/>
        </w:rPr>
      </w:pPr>
      <w:bookmarkStart w:id="51" w:name="_ref_1-391058b4711746"/>
      <w:bookmarkStart w:id="52" w:name="_ref_1-7f37cfa8abdf4d"/>
      <w:r>
        <w:rPr>
          <w:rFonts w:ascii="PT Astra Serif" w:hAnsi="PT Astra Serif" w:cs="PT Astra Serif"/>
          <w:sz w:val="26"/>
        </w:rPr>
        <w:t>46. Объект непроизведенных активов учитывается на забалансовом счете 02 "Материальные ценности на хранении", если в отношении него одновременно выполняются следующие условия:</w:t>
      </w:r>
      <w:bookmarkEnd w:id="51"/>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1) объект не приносит экономических выгод;</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2) объект не имеет полезного потенциала;</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3)  не предполагается, что объект будет приносить экономические выгоды.</w:t>
      </w:r>
    </w:p>
    <w:p w:rsidR="00F06D11" w:rsidRDefault="0038137D">
      <w:pPr>
        <w:pStyle w:val="2"/>
        <w:tabs>
          <w:tab w:val="clear" w:pos="0"/>
        </w:tabs>
        <w:spacing w:before="0" w:after="0" w:line="240" w:lineRule="auto"/>
        <w:ind w:firstLine="709"/>
        <w:contextualSpacing/>
        <w:rPr>
          <w:rFonts w:ascii="PT Astra Serif" w:eastAsia="PT Astra Serif" w:hAnsi="PT Astra Serif" w:cs="PT Astra Serif"/>
          <w:sz w:val="26"/>
        </w:rPr>
      </w:pPr>
      <w:bookmarkStart w:id="53" w:name="_ref_1-03eab198b81745"/>
      <w:r>
        <w:rPr>
          <w:rFonts w:ascii="PT Astra Serif" w:hAnsi="PT Astra Serif" w:cs="PT Astra Serif"/>
          <w:sz w:val="26"/>
        </w:rPr>
        <w:t>47. 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 Если выявлено изменение кадастровой стоимости, в учете отражается изменение стоимости земельного участка - объекта непроизведенных активов.</w:t>
      </w:r>
      <w:bookmarkEnd w:id="53"/>
    </w:p>
    <w:p w:rsidR="00F06D11" w:rsidRDefault="00F06D11">
      <w:pPr>
        <w:spacing w:before="0" w:after="0"/>
        <w:rPr>
          <w:sz w:val="12"/>
          <w:szCs w:val="12"/>
        </w:rPr>
      </w:pPr>
    </w:p>
    <w:p w:rsidR="00F06D11" w:rsidRDefault="0038137D">
      <w:pPr>
        <w:pStyle w:val="2"/>
        <w:tabs>
          <w:tab w:val="clear" w:pos="0"/>
        </w:tabs>
        <w:spacing w:before="0" w:after="0" w:line="240" w:lineRule="auto"/>
        <w:ind w:firstLine="709"/>
        <w:contextualSpacing/>
        <w:rPr>
          <w:rFonts w:ascii="PT Astra Serif" w:hAnsi="PT Astra Serif" w:cs="PT Astra Serif"/>
          <w:sz w:val="26"/>
        </w:rPr>
      </w:pPr>
      <w:r>
        <w:rPr>
          <w:rFonts w:ascii="PT Astra Serif" w:eastAsia="PT Astra Serif" w:hAnsi="PT Astra Serif" w:cs="PT Astra Serif"/>
          <w:sz w:val="26"/>
        </w:rPr>
        <w:t xml:space="preserve">                                  </w:t>
      </w:r>
      <w:r>
        <w:rPr>
          <w:rFonts w:ascii="PT Astra Serif" w:hAnsi="PT Astra Serif" w:cs="PT Astra Serif"/>
          <w:sz w:val="26"/>
        </w:rPr>
        <w:t>ГЛАВА 8. Материальные запасы</w:t>
      </w:r>
      <w:bookmarkEnd w:id="52"/>
    </w:p>
    <w:p w:rsidR="00F06D11" w:rsidRDefault="00F06D11">
      <w:pPr>
        <w:spacing w:before="0" w:after="0"/>
        <w:rPr>
          <w:sz w:val="12"/>
          <w:szCs w:val="12"/>
        </w:rPr>
      </w:pPr>
    </w:p>
    <w:p w:rsidR="00F06D11" w:rsidRDefault="0038137D">
      <w:pPr>
        <w:pStyle w:val="2"/>
        <w:tabs>
          <w:tab w:val="clear" w:pos="0"/>
        </w:tabs>
        <w:spacing w:line="240" w:lineRule="auto"/>
        <w:ind w:firstLine="709"/>
        <w:contextualSpacing/>
        <w:rPr>
          <w:rFonts w:ascii="PT Astra Serif" w:hAnsi="PT Astra Serif" w:cs="PT Astra Serif"/>
          <w:sz w:val="26"/>
        </w:rPr>
      </w:pPr>
      <w:bookmarkStart w:id="54" w:name="_ref_1-f7d45dd3997846"/>
      <w:r>
        <w:rPr>
          <w:rFonts w:ascii="PT Astra Serif" w:hAnsi="PT Astra Serif" w:cs="PT Astra Serif"/>
          <w:sz w:val="26"/>
        </w:rPr>
        <w:t>48. Единицей бухгалтерского учета материальных запасов является номенклатурная (реестровая) единица.</w:t>
      </w:r>
      <w:bookmarkEnd w:id="54"/>
    </w:p>
    <w:p w:rsidR="00F06D11" w:rsidRDefault="0038137D">
      <w:pPr>
        <w:pStyle w:val="2"/>
        <w:tabs>
          <w:tab w:val="clear" w:pos="0"/>
        </w:tabs>
        <w:spacing w:line="240" w:lineRule="auto"/>
        <w:ind w:firstLine="709"/>
        <w:contextualSpacing/>
        <w:rPr>
          <w:rFonts w:ascii="PT Astra Serif" w:hAnsi="PT Astra Serif" w:cs="PT Astra Serif"/>
          <w:sz w:val="26"/>
        </w:rPr>
      </w:pPr>
      <w:bookmarkStart w:id="55" w:name="_ref_1-50a121e1b3244d"/>
      <w:r>
        <w:rPr>
          <w:rFonts w:ascii="PT Astra Serif" w:hAnsi="PT Astra Serif" w:cs="PT Astra Serif"/>
          <w:sz w:val="26"/>
        </w:rPr>
        <w:t>49. 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bookmarkEnd w:id="55"/>
    </w:p>
    <w:p w:rsidR="00F06D11" w:rsidRDefault="0038137D">
      <w:pPr>
        <w:pStyle w:val="2"/>
        <w:tabs>
          <w:tab w:val="clear" w:pos="0"/>
        </w:tabs>
        <w:spacing w:line="240" w:lineRule="auto"/>
        <w:ind w:firstLine="709"/>
        <w:contextualSpacing/>
        <w:rPr>
          <w:rFonts w:ascii="PT Astra Serif" w:hAnsi="PT Astra Serif" w:cs="PT Astra Serif"/>
          <w:sz w:val="26"/>
        </w:rPr>
      </w:pPr>
      <w:bookmarkStart w:id="56" w:name="_ref_1-acfdc3ca985e45"/>
      <w:bookmarkStart w:id="57" w:name="_ref_1-d1d6472b3b7245"/>
      <w:r>
        <w:rPr>
          <w:rFonts w:ascii="PT Astra Serif" w:hAnsi="PT Astra Serif" w:cs="PT Astra Serif"/>
          <w:sz w:val="26"/>
        </w:rPr>
        <w:t>50. В целях обеспечения полноты отражения в учете информации об операциях с материальными запасами предусматривается использование следующих подстатей, детализирующих статью 340 "Увеличение стоимости материальных запасов" КОСГУ:</w:t>
      </w:r>
      <w:bookmarkEnd w:id="56"/>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1) 346 - увеличение стоимости прочих оборотных запасов (материальных ценностей);</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2)  349 –увеличение стоимости прочих материальных запасов однократного применения;</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3)  345 – увеличение стоимости мягкого инвентаря.</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51. Списание материальных запасов производится согласно ведомости раздачи и акту о списании материальных запасов по форме ОКУД 0504230, утвержденной Приказом Минфина №52. </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52. Приобретение призов и подарков на проводимые мероприятия учитываются на забалансовом счете 07 «Переходящие награды, призы, кубки, ценные подарки» в количественном учете.</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53. Выдача ценных и денежных призов, оплата за питание, проезд и проживания, обучающихся производится с заполнением ведомостей. </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Иные призы оформляются актами на общую сумму.</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54. Учет обмундирования согласно инструкции 162н ведется на счете 10535.</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55. Оприходование материальных запасов отражается в регистрах бюджетного учета на основании первичных учетных документов.</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56. Ведомость раздачи вещевого имущества муниципальным служащим формируется управлением по обеспечению охраны общественного порядка при Исполнительном комитете.</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57. При увольнении муниципального служащего, которому было выдано вещевое имущество, оформляется справка-расчет, согласно приложению № 8.</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58. Списание обмундирования производится в следующих случаях:</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1) увольнение сотрудника, который ее использовал;</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2) истечение срока полезного использования;</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3) полный износ или порча спецодежды.</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59. Административная и дисциплинарная ответственность за не достоверное предоставление данных возлагается на управление по обеспечению охраны общественного порядка при Исполнительном комитете.</w:t>
      </w:r>
    </w:p>
    <w:p w:rsidR="00F06D11" w:rsidRDefault="0038137D">
      <w:pPr>
        <w:pStyle w:val="2"/>
        <w:tabs>
          <w:tab w:val="clear" w:pos="0"/>
        </w:tabs>
        <w:spacing w:before="0" w:after="0" w:line="240" w:lineRule="auto"/>
        <w:ind w:firstLine="709"/>
        <w:contextualSpacing/>
        <w:rPr>
          <w:rFonts w:ascii="PT Astra Serif" w:eastAsia="PT Astra Serif" w:hAnsi="PT Astra Serif" w:cs="PT Astra Serif"/>
          <w:sz w:val="26"/>
        </w:rPr>
      </w:pPr>
      <w:bookmarkStart w:id="58" w:name="_ref_1-ddf964b1eaa44a"/>
      <w:bookmarkStart w:id="59" w:name="_ref_1-e9adefc561a74e"/>
      <w:r>
        <w:rPr>
          <w:rFonts w:ascii="PT Astra Serif" w:hAnsi="PT Astra Serif" w:cs="PT Astra Serif"/>
          <w:sz w:val="26"/>
        </w:rPr>
        <w:t>60. Оценка материальных запасов при их выбытии осуществляется по средней фактической стоимости запасов.</w:t>
      </w:r>
      <w:bookmarkEnd w:id="58"/>
    </w:p>
    <w:p w:rsidR="00F06D11" w:rsidRDefault="0038137D">
      <w:pPr>
        <w:pStyle w:val="2"/>
        <w:tabs>
          <w:tab w:val="clear" w:pos="0"/>
        </w:tabs>
        <w:spacing w:before="0" w:after="0" w:line="240" w:lineRule="auto"/>
        <w:ind w:firstLine="709"/>
        <w:contextualSpacing/>
        <w:rPr>
          <w:rFonts w:ascii="PT Astra Serif" w:hAnsi="PT Astra Serif" w:cs="PT Astra Serif"/>
          <w:sz w:val="26"/>
        </w:rPr>
      </w:pPr>
      <w:r>
        <w:rPr>
          <w:rFonts w:ascii="PT Astra Serif" w:eastAsia="PT Astra Serif" w:hAnsi="PT Astra Serif" w:cs="PT Astra Serif"/>
          <w:sz w:val="26"/>
        </w:rPr>
        <w:t xml:space="preserve">                              </w:t>
      </w:r>
      <w:r>
        <w:rPr>
          <w:rFonts w:ascii="PT Astra Serif" w:hAnsi="PT Astra Serif" w:cs="PT Astra Serif"/>
          <w:sz w:val="26"/>
        </w:rPr>
        <w:t>ГЛАВА 9. Нефинансовые объекты казны</w:t>
      </w:r>
      <w:bookmarkEnd w:id="57"/>
    </w:p>
    <w:p w:rsidR="00F06D11" w:rsidRDefault="00F06D11">
      <w:pPr>
        <w:pStyle w:val="2"/>
        <w:tabs>
          <w:tab w:val="clear" w:pos="0"/>
        </w:tabs>
        <w:spacing w:before="0" w:after="0" w:line="240" w:lineRule="auto"/>
        <w:ind w:firstLine="709"/>
        <w:contextualSpacing/>
        <w:rPr>
          <w:rFonts w:ascii="PT Astra Serif" w:hAnsi="PT Astra Serif" w:cs="PT Astra Serif"/>
          <w:sz w:val="26"/>
        </w:rPr>
      </w:pPr>
    </w:p>
    <w:p w:rsidR="00F06D11" w:rsidRDefault="0038137D">
      <w:pPr>
        <w:pStyle w:val="2"/>
        <w:tabs>
          <w:tab w:val="clear" w:pos="0"/>
        </w:tabs>
        <w:spacing w:before="0" w:after="0" w:line="240" w:lineRule="auto"/>
        <w:ind w:firstLine="709"/>
        <w:contextualSpacing/>
        <w:rPr>
          <w:rFonts w:ascii="PT Astra Serif" w:hAnsi="PT Astra Serif" w:cs="PT Astra Serif"/>
          <w:sz w:val="26"/>
        </w:rPr>
      </w:pPr>
      <w:r>
        <w:rPr>
          <w:rFonts w:ascii="PT Astra Serif" w:hAnsi="PT Astra Serif" w:cs="PT Astra Serif"/>
          <w:sz w:val="26"/>
        </w:rPr>
        <w:t>61. Признание в составе казны неучтенных объектов, выявленных при инвентаризации, осуществляется с применением счета 1 401 10.ХХХ. Имущество принимается по справедливой стоимости, определенной комиссией по поступлению и выбытию активов с применением наиболее подходящего в каждом случае метода.</w:t>
      </w:r>
      <w:bookmarkEnd w:id="59"/>
    </w:p>
    <w:p w:rsidR="00F06D11" w:rsidRDefault="0038137D">
      <w:pPr>
        <w:pStyle w:val="2"/>
        <w:tabs>
          <w:tab w:val="clear" w:pos="0"/>
        </w:tabs>
        <w:spacing w:line="240" w:lineRule="auto"/>
        <w:ind w:firstLine="709"/>
        <w:contextualSpacing/>
        <w:rPr>
          <w:rFonts w:ascii="PT Astra Serif" w:hAnsi="PT Astra Serif" w:cs="PT Astra Serif"/>
          <w:sz w:val="26"/>
        </w:rPr>
      </w:pPr>
      <w:bookmarkStart w:id="60" w:name="_ref_1-b8969e33d0ab4e"/>
      <w:r>
        <w:rPr>
          <w:rFonts w:ascii="PT Astra Serif" w:hAnsi="PT Astra Serif" w:cs="PT Astra Serif"/>
          <w:sz w:val="26"/>
        </w:rPr>
        <w:t>62. Основанием для признания в составе казны неучтенного объекта, выявленного при инвентаризации, является</w:t>
      </w:r>
      <w:bookmarkEnd w:id="60"/>
      <w:r>
        <w:rPr>
          <w:rFonts w:ascii="PT Astra Serif" w:hAnsi="PT Astra Serif" w:cs="PT Astra Serif"/>
          <w:sz w:val="26"/>
        </w:rPr>
        <w:t xml:space="preserve"> Акт о результатах инвентаризации (</w:t>
      </w:r>
      <w:hyperlink r:id="rId94" w:tgtFrame="https://cloud.consultant.ru/cloud/cgi/online.cgi?req=doc&amp;amp;base=LAW&amp;amp;n=362627&amp;amp;fld=134&amp;amp;dst=102390&amp;amp;date=06.09.2023&amp;amp;last=1">
        <w:r>
          <w:rPr>
            <w:rStyle w:val="af0"/>
            <w:rFonts w:ascii="PT Astra Serif" w:hAnsi="PT Astra Serif" w:cs="PT Astra Serif"/>
            <w:color w:val="auto"/>
            <w:sz w:val="26"/>
            <w:u w:val="none"/>
          </w:rPr>
          <w:t>ф. 0504835</w:t>
        </w:r>
      </w:hyperlink>
      <w:r>
        <w:rPr>
          <w:rFonts w:ascii="PT Astra Serif" w:hAnsi="PT Astra Serif" w:cs="PT Astra Serif"/>
          <w:sz w:val="26"/>
        </w:rPr>
        <w:t>).</w:t>
      </w:r>
    </w:p>
    <w:p w:rsidR="00F06D11" w:rsidRDefault="0038137D">
      <w:pPr>
        <w:pStyle w:val="2"/>
        <w:tabs>
          <w:tab w:val="clear" w:pos="0"/>
        </w:tabs>
        <w:spacing w:line="240" w:lineRule="auto"/>
        <w:ind w:firstLine="709"/>
        <w:contextualSpacing/>
        <w:rPr>
          <w:rFonts w:ascii="PT Astra Serif" w:hAnsi="PT Astra Serif" w:cs="PT Astra Serif"/>
          <w:sz w:val="26"/>
        </w:rPr>
      </w:pPr>
      <w:bookmarkStart w:id="61" w:name="_ref_1-a43b2ce6702948"/>
      <w:r>
        <w:rPr>
          <w:rFonts w:ascii="PT Astra Serif" w:hAnsi="PT Astra Serif" w:cs="PT Astra Serif"/>
          <w:sz w:val="26"/>
        </w:rPr>
        <w:t>63. Основанием для отражения выбытия объектов имущества казны при реализации (приватизации) являются:</w:t>
      </w:r>
      <w:bookmarkEnd w:id="61"/>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1) Акт о приеме-передаче объектов нефинансовых активов (</w:t>
      </w:r>
      <w:hyperlink r:id="rId95" w:tgtFrame="https://cloud.consultant.ru/cloud/cgi/online.cgi?req=doc&amp;amp;base=LAW&amp;amp;n=362627&amp;amp;fld=134&amp;amp;dst=100163&amp;amp;date=12.01.2023&amp;amp;last=1">
        <w:r>
          <w:rPr>
            <w:rStyle w:val="af0"/>
            <w:rFonts w:ascii="PT Astra Serif" w:hAnsi="PT Astra Serif" w:cs="PT Astra Serif"/>
            <w:color w:val="auto"/>
            <w:sz w:val="26"/>
            <w:u w:val="none"/>
          </w:rPr>
          <w:t>ф. 0504101</w:t>
        </w:r>
      </w:hyperlink>
      <w:r>
        <w:rPr>
          <w:rFonts w:ascii="PT Astra Serif" w:hAnsi="PT Astra Serif" w:cs="PT Astra Serif"/>
          <w:sz w:val="26"/>
        </w:rPr>
        <w:t>);</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2) Документы, подтверждающие государственную регистрацию в установленных законодательством случаях.</w:t>
      </w:r>
    </w:p>
    <w:p w:rsidR="00F06D11" w:rsidRDefault="0038137D">
      <w:pPr>
        <w:pStyle w:val="2"/>
        <w:tabs>
          <w:tab w:val="clear" w:pos="0"/>
        </w:tabs>
        <w:spacing w:line="240" w:lineRule="auto"/>
        <w:ind w:firstLine="709"/>
        <w:contextualSpacing/>
        <w:rPr>
          <w:rFonts w:ascii="PT Astra Serif" w:hAnsi="PT Astra Serif" w:cs="PT Astra Serif"/>
          <w:sz w:val="26"/>
        </w:rPr>
      </w:pPr>
      <w:bookmarkStart w:id="62" w:name="_ref_1-40f5aa236ca041"/>
      <w:bookmarkStart w:id="63" w:name="_ref_1-9525332019ce4f"/>
      <w:r>
        <w:rPr>
          <w:rFonts w:ascii="PT Astra Serif" w:hAnsi="PT Astra Serif" w:cs="PT Astra Serif"/>
          <w:sz w:val="26"/>
        </w:rPr>
        <w:t>64. Основанием для отражения выбытия объектов имущества казны в результате хищений, недостач, гибели или уничтожения являются:</w:t>
      </w:r>
      <w:bookmarkEnd w:id="62"/>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1) Акт о списании объектов нефинансовых активов (кроме транспортных средств) (</w:t>
      </w:r>
      <w:hyperlink r:id="rId96" w:tgtFrame="https://cloud.consultant.ru/cloud/cgi/online.cgi?req=doc&amp;amp;base=LAW&amp;amp;n=424146&amp;amp;fld=134&amp;amp;dst=3190&amp;amp;date=06.09.2023&amp;amp;last=1">
        <w:r>
          <w:rPr>
            <w:rStyle w:val="af0"/>
            <w:rFonts w:ascii="PT Astra Serif" w:hAnsi="PT Astra Serif" w:cs="PT Astra Serif"/>
            <w:color w:val="auto"/>
            <w:sz w:val="26"/>
            <w:u w:val="none"/>
          </w:rPr>
          <w:t>ф. 0510454</w:t>
        </w:r>
      </w:hyperlink>
      <w:r>
        <w:rPr>
          <w:rFonts w:ascii="PT Astra Serif" w:hAnsi="PT Astra Serif" w:cs="PT Astra Serif"/>
          <w:sz w:val="26"/>
        </w:rPr>
        <w:t>);</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2) Акт о списании транспортного средства (</w:t>
      </w:r>
      <w:hyperlink r:id="rId97" w:tgtFrame="https://cloud.consultant.ru/cloud/cgi/online.cgi?req=doc&amp;amp;base=LAW&amp;amp;n=424146&amp;amp;fld=134&amp;amp;dst=3306&amp;amp;date=06.09.2023&amp;amp;last=1">
        <w:r>
          <w:rPr>
            <w:rStyle w:val="af0"/>
            <w:rFonts w:ascii="PT Astra Serif" w:hAnsi="PT Astra Serif" w:cs="PT Astra Serif"/>
            <w:color w:val="auto"/>
            <w:sz w:val="26"/>
            <w:u w:val="none"/>
          </w:rPr>
          <w:t>ф. 0510456</w:t>
        </w:r>
      </w:hyperlink>
      <w:r>
        <w:rPr>
          <w:rFonts w:ascii="PT Astra Serif" w:hAnsi="PT Astra Serif" w:cs="PT Astra Serif"/>
          <w:sz w:val="26"/>
        </w:rPr>
        <w:t>).</w:t>
      </w:r>
    </w:p>
    <w:p w:rsidR="00F06D11" w:rsidRDefault="0038137D">
      <w:pPr>
        <w:pStyle w:val="2"/>
        <w:tabs>
          <w:tab w:val="clear" w:pos="0"/>
        </w:tabs>
        <w:spacing w:line="240" w:lineRule="auto"/>
        <w:ind w:firstLine="709"/>
        <w:contextualSpacing/>
        <w:rPr>
          <w:rFonts w:ascii="PT Astra Serif" w:hAnsi="PT Astra Serif" w:cs="PT Astra Serif"/>
          <w:sz w:val="26"/>
        </w:rPr>
      </w:pPr>
      <w:bookmarkStart w:id="64" w:name="_ref_1-6b2cefbdc62c48"/>
      <w:r>
        <w:rPr>
          <w:rFonts w:ascii="PT Astra Serif" w:hAnsi="PT Astra Serif" w:cs="PT Astra Serif"/>
          <w:sz w:val="26"/>
        </w:rPr>
        <w:t>65. Основанием для отражения выбытия объектов казны, уничтоженных в результате стихийных и иных бедствий, опасного природного явления, катастрофы, иной чрезвычайной ситуации, являются:</w:t>
      </w:r>
      <w:bookmarkEnd w:id="64"/>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1) Акт о списании объектов нефинансовых активов (кроме транспортных средств) (</w:t>
      </w:r>
      <w:hyperlink r:id="rId98" w:tgtFrame="https://cloud.consultant.ru/cloud/cgi/online.cgi?req=doc&amp;amp;base=LAW&amp;amp;n=424146&amp;amp;fld=134&amp;amp;dst=3190&amp;amp;date=06.09.2023&amp;amp;last=1">
        <w:r>
          <w:rPr>
            <w:rStyle w:val="af0"/>
            <w:rFonts w:ascii="PT Astra Serif" w:hAnsi="PT Astra Serif" w:cs="PT Astra Serif"/>
            <w:color w:val="auto"/>
            <w:sz w:val="26"/>
            <w:u w:val="none"/>
          </w:rPr>
          <w:t>ф. 0510454</w:t>
        </w:r>
      </w:hyperlink>
      <w:r>
        <w:rPr>
          <w:rFonts w:ascii="PT Astra Serif" w:hAnsi="PT Astra Serif" w:cs="PT Astra Serif"/>
          <w:sz w:val="26"/>
        </w:rPr>
        <w:t>);</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2) Акт о списании транспортного средства (</w:t>
      </w:r>
      <w:hyperlink r:id="rId99" w:tgtFrame="https://cloud.consultant.ru/cloud/cgi/online.cgi?req=doc&amp;amp;base=LAW&amp;amp;n=424146&amp;amp;fld=134&amp;amp;dst=3306&amp;amp;date=06.09.2023&amp;amp;last=1">
        <w:r>
          <w:rPr>
            <w:rStyle w:val="af0"/>
            <w:rFonts w:ascii="PT Astra Serif" w:hAnsi="PT Astra Serif" w:cs="PT Astra Serif"/>
            <w:color w:val="auto"/>
            <w:sz w:val="26"/>
            <w:u w:val="none"/>
          </w:rPr>
          <w:t>ф. 0510456</w:t>
        </w:r>
      </w:hyperlink>
      <w:r>
        <w:rPr>
          <w:rFonts w:ascii="PT Astra Serif" w:hAnsi="PT Astra Serif" w:cs="PT Astra Serif"/>
          <w:sz w:val="26"/>
        </w:rPr>
        <w:t>).</w:t>
      </w:r>
    </w:p>
    <w:p w:rsidR="00F06D11" w:rsidRDefault="0038137D">
      <w:pPr>
        <w:pStyle w:val="2"/>
        <w:tabs>
          <w:tab w:val="clear" w:pos="0"/>
        </w:tabs>
        <w:spacing w:line="240" w:lineRule="auto"/>
        <w:ind w:firstLine="709"/>
        <w:contextualSpacing/>
        <w:rPr>
          <w:rFonts w:ascii="PT Astra Serif" w:hAnsi="PT Astra Serif" w:cs="PT Astra Serif"/>
          <w:sz w:val="26"/>
        </w:rPr>
      </w:pPr>
      <w:bookmarkStart w:id="65" w:name="_ref_1-c4033ae9b3d841"/>
      <w:r>
        <w:rPr>
          <w:rFonts w:ascii="PT Astra Serif" w:hAnsi="PT Astra Serif" w:cs="PT Astra Serif"/>
          <w:sz w:val="26"/>
        </w:rPr>
        <w:t>66. Выбытие материальных запасов, составляющих казну, осуществляется по их балансовой (остаточной) стоимости.</w:t>
      </w:r>
      <w:bookmarkEnd w:id="63"/>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67. Управление земельных и имущественных отношений ведет аналитический учет имущества казны, отдел бухгалтерского учета и отчетности Исполнительного комитета ведет синтетический учет с 01 января 2011 года.</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68. Ежемесячно до 20 числа текущего месяца управление земельных и имущественных отношений Исполнительного комитета предоставляет информацию по операциям с имуществом муниципальной казны в отдел бухгалтерского учета и отчетности Исполнительного комитета по форме согласно приложению № 1 к настоящей Учетной политике. </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69. Ежемесячно до 10 числа текущего месяца управление земельных и имущественных отношений Исполнительного комитета предоставляет информацию о наличии жилых помещений в составе муниципальной казны в отдел бухгалтерского учета и отчетности Исполнительного комитета по форме согласно приложению №2 к настоящей Учетной политике.</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70. Ежеквартально до 10 числа текущего месяца управление земельных и имущественных отношений Исполнительного комитета предоставляет информацию о поступлении, выбытии и находящихся в аренде и безвозмездном пользовании земельных участков (разграниченных и неразграниченных) в отдел бухгалтерского учета и отчетности Исполнительного комитета по форме согласно приложению № 3 к настоящей Учетной политике.</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71. Имущество казны учитывается на отдельном коде бюджетной классификации.</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72. Отдел бухгалтерского учета и отчетности Исполнительного комитета составляет справку по консолидируемым расчетам для определения взаимосвязанных показателей, подлежащих исключению при формировании доходов бюджета по форме установленной инструкцией № 191н.</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73. По объектам материальных и нематериальных основных фондов, составляющим муниципальную казну амортизация отражается в соответствии с Инструкцией №157н.</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74. Имущество казны должно иметь денежное выражение. Если данное имущество не имеет денежного выражения, то его стоимость оценивается и принимается к учету по рыночной(кадастровой) стоимости. </w:t>
      </w:r>
    </w:p>
    <w:p w:rsidR="00F06D11" w:rsidRDefault="0038137D">
      <w:pPr>
        <w:pStyle w:val="2"/>
        <w:tabs>
          <w:tab w:val="clear" w:pos="0"/>
        </w:tabs>
        <w:spacing w:before="0" w:after="0" w:line="240" w:lineRule="auto"/>
        <w:ind w:firstLine="709"/>
        <w:contextualSpacing/>
        <w:rPr>
          <w:rFonts w:ascii="PT Astra Serif" w:eastAsia="PT Astra Serif" w:hAnsi="PT Astra Serif" w:cs="PT Astra Serif"/>
          <w:sz w:val="26"/>
        </w:rPr>
      </w:pPr>
      <w:r>
        <w:rPr>
          <w:rFonts w:ascii="PT Astra Serif" w:hAnsi="PT Astra Serif" w:cs="PT Astra Serif"/>
          <w:sz w:val="26"/>
        </w:rPr>
        <w:t>75.Административная и дисциплинарная ответственность за не достоверное предоставление данных возлагается на управление земельных и имущественных отношений Исполнительного комитета.</w:t>
      </w:r>
    </w:p>
    <w:p w:rsidR="00F06D11" w:rsidRDefault="00F06D11">
      <w:pPr>
        <w:spacing w:before="0" w:after="0"/>
      </w:pPr>
    </w:p>
    <w:p w:rsidR="00F06D11" w:rsidRDefault="0038137D">
      <w:pPr>
        <w:pStyle w:val="2"/>
        <w:tabs>
          <w:tab w:val="clear" w:pos="0"/>
        </w:tabs>
        <w:spacing w:before="0" w:after="0" w:line="240" w:lineRule="auto"/>
        <w:ind w:firstLine="709"/>
        <w:contextualSpacing/>
        <w:jc w:val="center"/>
        <w:rPr>
          <w:rFonts w:ascii="PT Astra Serif" w:hAnsi="PT Astra Serif" w:cs="PT Astra Serif"/>
          <w:sz w:val="26"/>
        </w:rPr>
      </w:pPr>
      <w:bookmarkStart w:id="66" w:name="_ref_1-c612af5079154e"/>
      <w:r>
        <w:rPr>
          <w:rFonts w:ascii="PT Astra Serif" w:eastAsia="PT Astra Serif" w:hAnsi="PT Astra Serif" w:cs="PT Astra Serif"/>
          <w:sz w:val="26"/>
        </w:rPr>
        <w:t xml:space="preserve">         </w:t>
      </w:r>
      <w:r>
        <w:rPr>
          <w:rFonts w:ascii="PT Astra Serif" w:hAnsi="PT Astra Serif" w:cs="PT Astra Serif"/>
          <w:sz w:val="26"/>
        </w:rPr>
        <w:t xml:space="preserve">ГЛАВА 10. Денежные средства, денежные документы и бланки </w:t>
      </w:r>
    </w:p>
    <w:p w:rsidR="00F06D11" w:rsidRDefault="0038137D">
      <w:pPr>
        <w:pStyle w:val="2"/>
        <w:tabs>
          <w:tab w:val="clear" w:pos="0"/>
        </w:tabs>
        <w:spacing w:before="0" w:after="0" w:line="240" w:lineRule="auto"/>
        <w:ind w:firstLine="709"/>
        <w:contextualSpacing/>
        <w:jc w:val="center"/>
        <w:rPr>
          <w:rFonts w:ascii="PT Astra Serif" w:hAnsi="PT Astra Serif" w:cs="PT Astra Serif"/>
          <w:sz w:val="26"/>
        </w:rPr>
      </w:pPr>
      <w:bookmarkStart w:id="67" w:name="_ref_1-5efd8b4853e242"/>
      <w:r>
        <w:rPr>
          <w:rFonts w:ascii="PT Astra Serif" w:hAnsi="PT Astra Serif" w:cs="PT Astra Serif"/>
          <w:sz w:val="26"/>
        </w:rPr>
        <w:t>строгой отчетности</w:t>
      </w:r>
      <w:bookmarkEnd w:id="67"/>
    </w:p>
    <w:p w:rsidR="00F06D11" w:rsidRDefault="00F06D11">
      <w:pPr>
        <w:spacing w:before="0" w:after="0"/>
      </w:pP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76. Учет денежных средств осуществляется в соответствии с требованиями, установленными </w:t>
      </w:r>
      <w:hyperlink r:id="rId100" w:tgtFrame="https://cloud.consultant.ru/cloud/cgi/online.cgi?req=doc&amp;amp;base=LAW&amp;amp;n=222242&amp;amp;fld=134&amp;amp;dst=100004&amp;amp;date=04.10.2018&amp;amp;last=1">
        <w:r>
          <w:rPr>
            <w:rStyle w:val="af0"/>
            <w:rFonts w:ascii="PT Astra Serif" w:hAnsi="PT Astra Serif" w:cs="PT Astra Serif"/>
            <w:color w:val="auto"/>
            <w:sz w:val="26"/>
            <w:u w:val="none"/>
          </w:rPr>
          <w:t>Порядком</w:t>
        </w:r>
      </w:hyperlink>
      <w:r>
        <w:rPr>
          <w:rFonts w:ascii="PT Astra Serif" w:hAnsi="PT Astra Serif" w:cs="PT Astra Serif"/>
          <w:sz w:val="26"/>
        </w:rPr>
        <w:t xml:space="preserve"> ведения кассовых операций.</w:t>
      </w:r>
      <w:bookmarkEnd w:id="65"/>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77. Кассовая книга </w:t>
      </w:r>
      <w:hyperlink r:id="rId101" w:tgtFrame="https://cloud.consultant.ru/cloud/cgi/online.cgi?req=doc&amp;amp;base=LAW&amp;amp;n=285455&amp;amp;fld=134&amp;amp;dst=102125&amp;amp;last=1">
        <w:r>
          <w:rPr>
            <w:rStyle w:val="af0"/>
            <w:rFonts w:ascii="PT Astra Serif" w:hAnsi="PT Astra Serif" w:cs="PT Astra Serif"/>
            <w:color w:val="auto"/>
            <w:sz w:val="26"/>
            <w:u w:val="none"/>
          </w:rPr>
          <w:t>(ф. 0504514)</w:t>
        </w:r>
      </w:hyperlink>
      <w:r>
        <w:rPr>
          <w:rFonts w:ascii="PT Astra Serif" w:hAnsi="PT Astra Serif" w:cs="PT Astra Serif"/>
          <w:sz w:val="26"/>
        </w:rPr>
        <w:t xml:space="preserve"> оформляется на бумажном носителе с применением компьютерной программы  Государственная информационная система Республики Татарстан «БАРС. Бюджет- Зарплата и кадры».</w:t>
      </w:r>
      <w:bookmarkEnd w:id="66"/>
    </w:p>
    <w:p w:rsidR="00F06D11" w:rsidRDefault="0038137D">
      <w:pPr>
        <w:pStyle w:val="2"/>
        <w:tabs>
          <w:tab w:val="clear" w:pos="0"/>
        </w:tabs>
        <w:spacing w:line="240" w:lineRule="auto"/>
        <w:ind w:firstLine="709"/>
        <w:contextualSpacing/>
        <w:rPr>
          <w:rFonts w:ascii="PT Astra Serif" w:hAnsi="PT Astra Serif" w:cs="PT Astra Serif"/>
          <w:sz w:val="26"/>
        </w:rPr>
      </w:pPr>
      <w:bookmarkStart w:id="68" w:name="_ref_1-adc525be85af40"/>
      <w:bookmarkStart w:id="69" w:name="_ref_1-25728a2845f248"/>
      <w:r>
        <w:rPr>
          <w:rFonts w:ascii="PT Astra Serif" w:hAnsi="PT Astra Serif" w:cs="PT Astra Serif"/>
          <w:sz w:val="26"/>
        </w:rPr>
        <w:t>78. В составе денежных документов учитываются оплаченные путевки.</w:t>
      </w:r>
      <w:bookmarkEnd w:id="68"/>
    </w:p>
    <w:p w:rsidR="00F06D11" w:rsidRDefault="0038137D">
      <w:pPr>
        <w:pStyle w:val="2"/>
        <w:tabs>
          <w:tab w:val="clear" w:pos="0"/>
        </w:tabs>
        <w:spacing w:line="240" w:lineRule="auto"/>
        <w:ind w:firstLine="709"/>
        <w:contextualSpacing/>
        <w:rPr>
          <w:rFonts w:ascii="PT Astra Serif" w:hAnsi="PT Astra Serif" w:cs="PT Astra Serif"/>
          <w:sz w:val="26"/>
        </w:rPr>
      </w:pPr>
      <w:bookmarkStart w:id="70" w:name="_ref_1-384b1b908cdf44"/>
      <w:r>
        <w:rPr>
          <w:rFonts w:ascii="PT Astra Serif" w:hAnsi="PT Astra Serif" w:cs="PT Astra Serif"/>
          <w:sz w:val="26"/>
        </w:rPr>
        <w:t>79. Денежные документы принимаются в кассу и учитываются по первоначальной стоимости, сформированной в объеме фактических затрат, с учетом всех налогов, в том числе возмещаемых.</w:t>
      </w:r>
      <w:bookmarkEnd w:id="70"/>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Приходные и расходные кассовые ордера, которые содержат данные о движении денежных документов, регистрируются на отдельных листах Кассовой книги </w:t>
      </w:r>
      <w:hyperlink r:id="rId102" w:tgtFrame="https://cloud.consultant.ru/cloud/cgi/online.cgi?req=doc&amp;amp;base=LAW&amp;amp;n=362627&amp;amp;fld=134&amp;amp;dst=102125&amp;amp;date=30.09.2025&amp;amp;last=1">
        <w:r>
          <w:rPr>
            <w:rStyle w:val="af0"/>
            <w:rFonts w:ascii="PT Astra Serif" w:hAnsi="PT Astra Serif" w:cs="PT Astra Serif"/>
            <w:color w:val="auto"/>
            <w:sz w:val="26"/>
            <w:u w:val="none"/>
          </w:rPr>
          <w:t>(ф. 0504514)</w:t>
        </w:r>
      </w:hyperlink>
      <w:r>
        <w:rPr>
          <w:rFonts w:ascii="PT Astra Serif" w:hAnsi="PT Astra Serif" w:cs="PT Astra Serif"/>
          <w:sz w:val="26"/>
        </w:rPr>
        <w:t xml:space="preserve"> с проставлением на них отметки "Фондовый".</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80. Выдача денежных средств под отчет производится в  порядке согласно приложению № 8 к настоящей Учетной политике.</w:t>
      </w:r>
      <w:bookmarkEnd w:id="69"/>
    </w:p>
    <w:p w:rsidR="00F06D11" w:rsidRDefault="0038137D">
      <w:pPr>
        <w:pStyle w:val="2"/>
        <w:tabs>
          <w:tab w:val="clear" w:pos="0"/>
        </w:tabs>
        <w:spacing w:line="240" w:lineRule="auto"/>
        <w:ind w:firstLine="709"/>
        <w:contextualSpacing/>
        <w:rPr>
          <w:rFonts w:ascii="PT Astra Serif" w:hAnsi="PT Astra Serif" w:cs="PT Astra Serif"/>
          <w:sz w:val="26"/>
        </w:rPr>
      </w:pPr>
      <w:bookmarkStart w:id="71" w:name="_ref_1-400fb103444645"/>
      <w:bookmarkStart w:id="72" w:name="_ref_1-e956892a601f40"/>
      <w:r>
        <w:rPr>
          <w:rFonts w:ascii="PT Astra Serif" w:hAnsi="PT Astra Serif" w:cs="PT Astra Serif"/>
          <w:sz w:val="26"/>
        </w:rPr>
        <w:t>81. Выдача под отчет денежных документов производится в порядке согласно приложению № 9 к настоящей Учетной политике.</w:t>
      </w:r>
      <w:bookmarkEnd w:id="71"/>
    </w:p>
    <w:p w:rsidR="00F06D11" w:rsidRDefault="0038137D">
      <w:pPr>
        <w:pStyle w:val="2"/>
        <w:tabs>
          <w:tab w:val="clear" w:pos="0"/>
        </w:tabs>
        <w:spacing w:before="0" w:after="0" w:line="240" w:lineRule="auto"/>
        <w:ind w:firstLine="709"/>
        <w:contextualSpacing/>
        <w:rPr>
          <w:rFonts w:ascii="PT Astra Serif" w:eastAsia="PT Astra Serif" w:hAnsi="PT Astra Serif" w:cs="PT Astra Serif"/>
          <w:sz w:val="26"/>
        </w:rPr>
      </w:pPr>
      <w:bookmarkStart w:id="73" w:name="_ref_1-2964491190dc43"/>
      <w:r>
        <w:rPr>
          <w:rFonts w:ascii="PT Astra Serif" w:hAnsi="PT Astra Serif" w:cs="PT Astra Serif"/>
          <w:sz w:val="26"/>
        </w:rPr>
        <w:t>82. Бланки строгой отчетности принимаются, хранятся и выдаются в порядке согласно приложению № 10 к настоящей Учетной политике.</w:t>
      </w:r>
      <w:bookmarkEnd w:id="73"/>
    </w:p>
    <w:p w:rsidR="00F06D11" w:rsidRDefault="00F06D11">
      <w:pPr>
        <w:spacing w:before="0" w:after="0"/>
      </w:pPr>
    </w:p>
    <w:p w:rsidR="00F06D11" w:rsidRDefault="0038137D">
      <w:pPr>
        <w:pStyle w:val="2"/>
        <w:tabs>
          <w:tab w:val="clear" w:pos="0"/>
        </w:tabs>
        <w:spacing w:before="0" w:after="0" w:line="240" w:lineRule="auto"/>
        <w:ind w:firstLine="709"/>
        <w:contextualSpacing/>
        <w:rPr>
          <w:rFonts w:ascii="PT Astra Serif" w:hAnsi="PT Astra Serif" w:cs="PT Astra Serif"/>
          <w:sz w:val="26"/>
        </w:rPr>
      </w:pPr>
      <w:r>
        <w:rPr>
          <w:rFonts w:ascii="PT Astra Serif" w:eastAsia="PT Astra Serif" w:hAnsi="PT Astra Serif" w:cs="PT Astra Serif"/>
          <w:sz w:val="26"/>
        </w:rPr>
        <w:t xml:space="preserve">                                            </w:t>
      </w:r>
      <w:r>
        <w:rPr>
          <w:rFonts w:ascii="PT Astra Serif" w:hAnsi="PT Astra Serif" w:cs="PT Astra Serif"/>
          <w:sz w:val="26"/>
        </w:rPr>
        <w:t>ГЛАВА 11. Финансовые вложения</w:t>
      </w:r>
      <w:bookmarkEnd w:id="72"/>
    </w:p>
    <w:p w:rsidR="00F06D11" w:rsidRDefault="00F06D11">
      <w:pPr>
        <w:spacing w:before="0" w:after="0"/>
      </w:pPr>
    </w:p>
    <w:p w:rsidR="00F06D11" w:rsidRDefault="0038137D">
      <w:pPr>
        <w:pStyle w:val="2"/>
        <w:tabs>
          <w:tab w:val="clear" w:pos="0"/>
        </w:tabs>
        <w:spacing w:line="240" w:lineRule="auto"/>
        <w:ind w:firstLine="709"/>
        <w:contextualSpacing/>
        <w:rPr>
          <w:rFonts w:ascii="PT Astra Serif" w:hAnsi="PT Astra Serif" w:cs="PT Astra Serif"/>
          <w:sz w:val="26"/>
        </w:rPr>
      </w:pPr>
      <w:bookmarkStart w:id="74" w:name="_ref_1-39923f489d2644"/>
      <w:bookmarkStart w:id="75" w:name="_ref_1-51b6088c070a49"/>
      <w:r>
        <w:rPr>
          <w:rFonts w:ascii="PT Astra Serif" w:hAnsi="PT Astra Serif" w:cs="PT Astra Serif"/>
          <w:sz w:val="26"/>
        </w:rPr>
        <w:t>83. Финансовые вложения признаются краткосрочными, если они имеют срок погашения не более 12 месяцев после отчетной даты или классифицируются таковыми в соответствии с нормативными правовыми актами.</w:t>
      </w:r>
      <w:bookmarkEnd w:id="74"/>
    </w:p>
    <w:p w:rsidR="00F06D11" w:rsidRDefault="0038137D">
      <w:pPr>
        <w:pStyle w:val="2"/>
        <w:tabs>
          <w:tab w:val="clear" w:pos="0"/>
        </w:tabs>
        <w:spacing w:line="240" w:lineRule="auto"/>
        <w:ind w:firstLine="709"/>
        <w:contextualSpacing/>
        <w:rPr>
          <w:rFonts w:ascii="PT Astra Serif" w:hAnsi="PT Astra Serif" w:cs="PT Astra Serif"/>
          <w:bCs w:val="0"/>
          <w:sz w:val="26"/>
        </w:rPr>
      </w:pPr>
      <w:bookmarkStart w:id="76" w:name="_ref_1-ede4b316ffe149"/>
      <w:r>
        <w:rPr>
          <w:rFonts w:ascii="PT Astra Serif" w:hAnsi="PT Astra Serif" w:cs="PT Astra Serif"/>
          <w:sz w:val="26"/>
        </w:rPr>
        <w:t>84. Финансовые вложения, которые не относятся к краткосрочным, классифицируются как долгосрочные.</w:t>
      </w:r>
      <w:bookmarkEnd w:id="76"/>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bCs w:val="0"/>
          <w:sz w:val="26"/>
        </w:rPr>
        <w:t xml:space="preserve">85. Управление земельных и имущественных отношений Исполнительного комитета ведет аналитический учет </w:t>
      </w:r>
      <w:r>
        <w:rPr>
          <w:rFonts w:ascii="PT Astra Serif" w:hAnsi="PT Astra Serif" w:cs="PT Astra Serif"/>
          <w:sz w:val="26"/>
        </w:rPr>
        <w:t>финансовых вложений</w:t>
      </w:r>
      <w:bookmarkEnd w:id="75"/>
      <w:r>
        <w:rPr>
          <w:rFonts w:ascii="PT Astra Serif" w:hAnsi="PT Astra Serif" w:cs="PT Astra Serif"/>
          <w:sz w:val="26"/>
        </w:rPr>
        <w:t>.</w:t>
      </w:r>
    </w:p>
    <w:p w:rsidR="00F06D11" w:rsidRDefault="0038137D">
      <w:pPr>
        <w:pStyle w:val="2"/>
        <w:tabs>
          <w:tab w:val="clear" w:pos="0"/>
        </w:tabs>
        <w:spacing w:line="240" w:lineRule="auto"/>
        <w:ind w:firstLine="709"/>
        <w:contextualSpacing/>
        <w:rPr>
          <w:rFonts w:ascii="PT Astra Serif" w:hAnsi="PT Astra Serif" w:cs="PT Astra Serif"/>
          <w:sz w:val="26"/>
        </w:rPr>
      </w:pPr>
      <w:bookmarkStart w:id="77" w:name="_ref_1-48d50d1fd2864a"/>
      <w:bookmarkStart w:id="78" w:name="_ref_1-81ece9c374124a"/>
      <w:r>
        <w:rPr>
          <w:rFonts w:ascii="PT Astra Serif" w:hAnsi="PT Astra Serif" w:cs="PT Astra Serif"/>
          <w:sz w:val="26"/>
        </w:rPr>
        <w:t>86. Данные учета об акциях ежегодно в ходе инвентаризации подтверждаются выпиской из реестра акционеров.</w:t>
      </w:r>
      <w:bookmarkEnd w:id="77"/>
    </w:p>
    <w:p w:rsidR="00F06D11" w:rsidRDefault="0038137D">
      <w:pPr>
        <w:pStyle w:val="2"/>
        <w:tabs>
          <w:tab w:val="clear" w:pos="0"/>
        </w:tabs>
        <w:spacing w:line="240" w:lineRule="auto"/>
        <w:ind w:firstLine="709"/>
        <w:contextualSpacing/>
        <w:rPr>
          <w:rFonts w:ascii="PT Astra Serif" w:eastAsia="PT Astra Serif" w:hAnsi="PT Astra Serif" w:cs="PT Astra Serif"/>
          <w:sz w:val="26"/>
        </w:rPr>
      </w:pPr>
      <w:bookmarkStart w:id="79" w:name="_ref_1-55983bd8c37e4a"/>
      <w:bookmarkStart w:id="80" w:name="_ref_1-660de06997ff4d"/>
      <w:r>
        <w:rPr>
          <w:rFonts w:ascii="PT Astra Serif" w:hAnsi="PT Astra Serif" w:cs="PT Astra Serif"/>
          <w:sz w:val="26"/>
        </w:rPr>
        <w:t>87. Показатель размера участия в учреждениях при изменении стоимости особо ценного имущества корректируется ежегодно перед составлением годовой отчетности.</w:t>
      </w:r>
      <w:bookmarkEnd w:id="79"/>
    </w:p>
    <w:p w:rsidR="00F06D11" w:rsidRDefault="0038137D">
      <w:pPr>
        <w:pStyle w:val="2"/>
        <w:tabs>
          <w:tab w:val="clear" w:pos="0"/>
        </w:tabs>
        <w:spacing w:before="0" w:after="0" w:line="240" w:lineRule="auto"/>
        <w:ind w:firstLine="709"/>
        <w:contextualSpacing/>
        <w:rPr>
          <w:rFonts w:ascii="PT Astra Serif" w:hAnsi="PT Astra Serif" w:cs="PT Astra Serif"/>
          <w:sz w:val="26"/>
        </w:rPr>
      </w:pPr>
      <w:r>
        <w:rPr>
          <w:rFonts w:ascii="PT Astra Serif" w:eastAsia="PT Astra Serif" w:hAnsi="PT Astra Serif" w:cs="PT Astra Serif"/>
          <w:sz w:val="26"/>
        </w:rPr>
        <w:t xml:space="preserve">                                  </w:t>
      </w:r>
      <w:r>
        <w:rPr>
          <w:rFonts w:ascii="PT Astra Serif" w:hAnsi="PT Astra Serif" w:cs="PT Astra Serif"/>
          <w:sz w:val="26"/>
        </w:rPr>
        <w:t>ГЛАВА 12. Расчеты с дебиторами и кредиторами</w:t>
      </w:r>
      <w:bookmarkEnd w:id="78"/>
    </w:p>
    <w:p w:rsidR="00F06D11" w:rsidRDefault="00F06D11">
      <w:pPr>
        <w:spacing w:before="0" w:after="0"/>
      </w:pPr>
    </w:p>
    <w:p w:rsidR="00F06D11" w:rsidRDefault="0038137D">
      <w:pPr>
        <w:pStyle w:val="2"/>
        <w:tabs>
          <w:tab w:val="clear" w:pos="0"/>
        </w:tabs>
        <w:spacing w:line="240" w:lineRule="auto"/>
        <w:ind w:firstLine="709"/>
        <w:contextualSpacing/>
        <w:rPr>
          <w:rFonts w:ascii="PT Astra Serif" w:hAnsi="PT Astra Serif" w:cs="PT Astra Serif"/>
          <w:sz w:val="26"/>
        </w:rPr>
      </w:pPr>
      <w:bookmarkStart w:id="81" w:name="_ref_1-137a66bb71a84b"/>
      <w:r>
        <w:rPr>
          <w:rFonts w:ascii="PT Astra Serif" w:hAnsi="PT Astra Serif" w:cs="PT Astra Serif"/>
          <w:sz w:val="26"/>
        </w:rPr>
        <w:t xml:space="preserve">88. Задолженность дебиторов по штрафам, пеням, иным санкциям, предусмотренным контрактом (договором, соглашением), который заключен согласно Федеральному </w:t>
      </w:r>
      <w:hyperlink r:id="rId103" w:tgtFrame="https://cloud.consultant.ru/cloud/cgi/online.cgi?req=doc&amp;amp;base=LAW&amp;amp;n=324349&amp;amp;fld=134&amp;amp;dst=1000000001&amp;amp;date=13.12.2019&amp;amp;last=1">
        <w:r>
          <w:rPr>
            <w:rStyle w:val="af0"/>
            <w:rFonts w:ascii="PT Astra Serif" w:hAnsi="PT Astra Serif" w:cs="PT Astra Serif"/>
            <w:color w:val="auto"/>
            <w:sz w:val="26"/>
            <w:u w:val="none"/>
          </w:rPr>
          <w:t>закону</w:t>
        </w:r>
      </w:hyperlink>
      <w:r>
        <w:rPr>
          <w:rFonts w:ascii="PT Astra Serif" w:hAnsi="PT Astra Serif" w:cs="PT Astra Serif"/>
          <w:sz w:val="26"/>
        </w:rPr>
        <w:t xml:space="preserve"> от 05.04.2013 № 44-ФЗ, отражается в учете на дату возникновения права соответствующего требования по контракту (договору, соглашению) на основании бухгалтерской справки и с приложением обоснованного расчета. При этом пени начисляются на конец каждого месяца и (или) на дату прекращения оснований для их дальнейшего начисления.</w:t>
      </w:r>
      <w:bookmarkEnd w:id="80"/>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В случае если контрагент не согласен с предъявленным требованием, оспариваемая задолженность отражается в составе доходов будущих периодов. По факту определения судом размера соответствующих платежей на основании вступившего в силу судебного акта данная сумма со счета учета доходов будущих периодов относится на доходы текущего периода, а разница списывается на уменьшение ранее отраженной дебиторской задолженности.</w:t>
      </w:r>
    </w:p>
    <w:p w:rsidR="00F06D11" w:rsidRDefault="0038137D">
      <w:pPr>
        <w:pStyle w:val="2"/>
        <w:tabs>
          <w:tab w:val="clear" w:pos="0"/>
        </w:tabs>
        <w:spacing w:line="240" w:lineRule="auto"/>
        <w:ind w:firstLine="709"/>
        <w:contextualSpacing/>
        <w:rPr>
          <w:rFonts w:ascii="PT Astra Serif" w:hAnsi="PT Astra Serif" w:cs="PT Astra Serif"/>
          <w:sz w:val="26"/>
        </w:rPr>
      </w:pPr>
      <w:bookmarkStart w:id="82" w:name="_ref_1-8fd5a8c2a3d04f"/>
      <w:bookmarkStart w:id="83" w:name="_ref_1-12e5f21d92a542"/>
      <w:r>
        <w:rPr>
          <w:rFonts w:ascii="PT Astra Serif" w:hAnsi="PT Astra Serif" w:cs="PT Astra Serif"/>
          <w:sz w:val="26"/>
        </w:rPr>
        <w:t>89. Задолженность дебиторов по предъявленным к ним штрафам, пеням, иным санкциям по договорам, заключенным не в рамках контрактной системы, отражается в учете при признании задолженности дебитором или в момент вступления в законную силу решения суда об их взыскании.</w:t>
      </w:r>
      <w:bookmarkEnd w:id="82"/>
    </w:p>
    <w:p w:rsidR="00F06D11" w:rsidRDefault="0038137D">
      <w:pPr>
        <w:pStyle w:val="2"/>
        <w:tabs>
          <w:tab w:val="clear" w:pos="0"/>
        </w:tabs>
        <w:spacing w:line="240" w:lineRule="auto"/>
        <w:ind w:firstLine="709"/>
        <w:contextualSpacing/>
        <w:rPr>
          <w:rFonts w:ascii="PT Astra Serif" w:hAnsi="PT Astra Serif" w:cs="PT Astra Serif"/>
          <w:sz w:val="26"/>
        </w:rPr>
      </w:pPr>
      <w:bookmarkStart w:id="84" w:name="_ref_1-2487a684569545"/>
      <w:r>
        <w:rPr>
          <w:rFonts w:ascii="PT Astra Serif" w:hAnsi="PT Astra Serif" w:cs="PT Astra Serif"/>
          <w:sz w:val="26"/>
        </w:rPr>
        <w:t>90. Аналитический учет расчетов с подотчетными лицами ведется в Журнале операций расчетов с подотчетными лицами №3</w:t>
      </w:r>
      <w:hyperlink r:id="rId104" w:tgtFrame="https://cloud.consultant.ru/cloud/cgi/online.cgi?req=doc&amp;amp;base=LAW&amp;amp;n=285455&amp;amp;fld=134&amp;amp;dst=104247&amp;amp;last=1">
        <w:r>
          <w:rPr>
            <w:rStyle w:val="af0"/>
            <w:rFonts w:ascii="PT Astra Serif" w:hAnsi="PT Astra Serif" w:cs="PT Astra Serif"/>
            <w:color w:val="auto"/>
            <w:sz w:val="26"/>
            <w:u w:val="none"/>
          </w:rPr>
          <w:t>(ф. 0504071)</w:t>
        </w:r>
      </w:hyperlink>
      <w:r>
        <w:rPr>
          <w:rFonts w:ascii="PT Astra Serif" w:hAnsi="PT Astra Serif" w:cs="PT Astra Serif"/>
          <w:sz w:val="26"/>
        </w:rPr>
        <w:t>.</w:t>
      </w:r>
      <w:bookmarkEnd w:id="81"/>
    </w:p>
    <w:p w:rsidR="00F06D11" w:rsidRDefault="0038137D">
      <w:pPr>
        <w:pStyle w:val="2"/>
        <w:tabs>
          <w:tab w:val="clear" w:pos="0"/>
        </w:tabs>
        <w:spacing w:line="240" w:lineRule="auto"/>
        <w:ind w:firstLine="709"/>
        <w:contextualSpacing/>
        <w:rPr>
          <w:rFonts w:ascii="PT Astra Serif" w:hAnsi="PT Astra Serif" w:cs="PT Astra Serif"/>
          <w:sz w:val="26"/>
        </w:rPr>
      </w:pPr>
      <w:bookmarkStart w:id="85" w:name="_ref_1-30a8597693694b"/>
      <w:r>
        <w:rPr>
          <w:rFonts w:ascii="PT Astra Serif" w:hAnsi="PT Astra Serif" w:cs="PT Astra Serif"/>
          <w:sz w:val="26"/>
        </w:rPr>
        <w:t>91. Аналитический учет расчетов с поставщиками за поставленные материальные ценности, оказанные услуги, выполненные работы ведется в Журнале операций расчетов с поставщиками и подрядчиками №4(</w:t>
      </w:r>
      <w:hyperlink r:id="rId105" w:tgtFrame="https://cloud.consultant.ru/cloud/cgi/online.cgi?req=doc&amp;amp;base=LAW&amp;amp;n=285455&amp;amp;fld=134&amp;amp;dst=104247&amp;amp;last=1">
        <w:r>
          <w:rPr>
            <w:rStyle w:val="af0"/>
            <w:rFonts w:ascii="PT Astra Serif" w:hAnsi="PT Astra Serif" w:cs="PT Astra Serif"/>
            <w:color w:val="auto"/>
            <w:sz w:val="26"/>
            <w:u w:val="none"/>
          </w:rPr>
          <w:t>ф. 0504071</w:t>
        </w:r>
      </w:hyperlink>
      <w:r>
        <w:rPr>
          <w:rFonts w:ascii="PT Astra Serif" w:hAnsi="PT Astra Serif" w:cs="PT Astra Serif"/>
          <w:sz w:val="26"/>
        </w:rPr>
        <w:t>).</w:t>
      </w:r>
      <w:bookmarkEnd w:id="83"/>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92. Аналитический учет расчетов по платежам в бюджеты ведется в Карточке учета средств и расчетов (</w:t>
      </w:r>
      <w:hyperlink r:id="rId106" w:tgtFrame="https://cloud.consultant.ru/cloud/cgi/online.cgi?req=doc&amp;amp;base=LAW&amp;amp;n=285455&amp;amp;fld=134&amp;amp;dst=103559&amp;amp;last=1">
        <w:r>
          <w:rPr>
            <w:rStyle w:val="af0"/>
            <w:rFonts w:ascii="PT Astra Serif" w:hAnsi="PT Astra Serif" w:cs="PT Astra Serif"/>
            <w:color w:val="auto"/>
            <w:sz w:val="26"/>
            <w:u w:val="none"/>
          </w:rPr>
          <w:t>ф. 0504051</w:t>
        </w:r>
      </w:hyperlink>
      <w:r>
        <w:rPr>
          <w:rFonts w:ascii="PT Astra Serif" w:hAnsi="PT Astra Serif" w:cs="PT Astra Serif"/>
          <w:sz w:val="26"/>
        </w:rPr>
        <w:t>) .</w:t>
      </w:r>
      <w:bookmarkEnd w:id="84"/>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93. Аналитический учет расчетов по доходам ведется в Карточке учета средств и расчетов </w:t>
      </w:r>
      <w:hyperlink r:id="rId107" w:tgtFrame="https://cloud.consultant.ru/cloud/cgi/online.cgi?req=doc&amp;amp;base=LAW&amp;amp;n=362627&amp;amp;fld=134&amp;amp;dst=103559&amp;amp;date=17.09.2025&amp;amp;last=1">
        <w:r>
          <w:rPr>
            <w:rStyle w:val="af0"/>
            <w:rFonts w:ascii="PT Astra Serif" w:hAnsi="PT Astra Serif" w:cs="PT Astra Serif"/>
            <w:color w:val="auto"/>
            <w:sz w:val="26"/>
            <w:u w:val="none"/>
          </w:rPr>
          <w:t>(ф. 0504051)</w:t>
        </w:r>
      </w:hyperlink>
      <w:r>
        <w:rPr>
          <w:rFonts w:ascii="PT Astra Serif" w:hAnsi="PT Astra Serif" w:cs="PT Astra Serif"/>
          <w:sz w:val="26"/>
        </w:rPr>
        <w:t>.</w:t>
      </w:r>
      <w:bookmarkEnd w:id="85"/>
    </w:p>
    <w:p w:rsidR="00F06D11" w:rsidRDefault="0038137D">
      <w:pPr>
        <w:pStyle w:val="2"/>
        <w:tabs>
          <w:tab w:val="clear" w:pos="0"/>
        </w:tabs>
        <w:spacing w:line="240" w:lineRule="auto"/>
        <w:ind w:firstLine="709"/>
        <w:contextualSpacing/>
        <w:rPr>
          <w:rFonts w:ascii="PT Astra Serif" w:hAnsi="PT Astra Serif" w:cs="PT Astra Serif"/>
          <w:sz w:val="26"/>
        </w:rPr>
      </w:pPr>
      <w:bookmarkStart w:id="86" w:name="_ref_1-e3ea9b3ebfbc4d"/>
      <w:r>
        <w:rPr>
          <w:rFonts w:ascii="PT Astra Serif" w:hAnsi="PT Astra Serif" w:cs="PT Astra Serif"/>
          <w:sz w:val="26"/>
        </w:rPr>
        <w:t>94. Аналитический учет расчетов по доходам ведется по категориям плательщиков.</w:t>
      </w:r>
      <w:bookmarkEnd w:id="86"/>
    </w:p>
    <w:p w:rsidR="00F06D11" w:rsidRDefault="0038137D">
      <w:pPr>
        <w:pStyle w:val="2"/>
        <w:tabs>
          <w:tab w:val="clear" w:pos="0"/>
        </w:tabs>
        <w:spacing w:line="240" w:lineRule="auto"/>
        <w:ind w:firstLine="709"/>
        <w:contextualSpacing/>
        <w:rPr>
          <w:rFonts w:ascii="PT Astra Serif" w:hAnsi="PT Astra Serif" w:cs="PT Astra Serif"/>
          <w:sz w:val="26"/>
        </w:rPr>
      </w:pPr>
      <w:bookmarkStart w:id="87" w:name="_ref_1-4d0925a30a5047"/>
      <w:bookmarkStart w:id="88" w:name="_ref_1-0ca738b5835e41"/>
      <w:r>
        <w:rPr>
          <w:rFonts w:ascii="PT Astra Serif" w:hAnsi="PT Astra Serif" w:cs="PT Astra Serif"/>
          <w:sz w:val="26"/>
        </w:rPr>
        <w:t>95. Аналитический учет расчетов по оплате труда ведет отдел бухгалтерского учета и отчетности Исполнительного комитета.</w:t>
      </w:r>
      <w:bookmarkEnd w:id="87"/>
    </w:p>
    <w:p w:rsidR="00F06D11" w:rsidRDefault="0038137D">
      <w:pPr>
        <w:pStyle w:val="2"/>
        <w:tabs>
          <w:tab w:val="clear" w:pos="0"/>
        </w:tabs>
        <w:spacing w:line="240" w:lineRule="auto"/>
        <w:ind w:firstLine="709"/>
        <w:contextualSpacing/>
        <w:rPr>
          <w:rFonts w:ascii="PT Astra Serif" w:hAnsi="PT Astra Serif" w:cs="PT Astra Serif"/>
          <w:bCs w:val="0"/>
          <w:sz w:val="26"/>
        </w:rPr>
      </w:pPr>
      <w:r>
        <w:rPr>
          <w:rFonts w:ascii="PT Astra Serif" w:hAnsi="PT Astra Serif" w:cs="PT Astra Serif"/>
          <w:sz w:val="26"/>
        </w:rPr>
        <w:t>96. Отдел бухгалтерского учета и отчетности Исполнительного комитета ведет повременную оплату труда. Оплата труда муниципальных служащих осуществляется в соответствии с Решением Городского Совета муниципального образования город Набережные Челны от 27.04.2018 № 24/6 «О системе оплаты труда лиц, замещающих муниципальные должности на постоянной основе, муниципальных служащих и лиц, работающих на должностях по техническому обеспечения деятельности органов местного самоуправления».</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bCs w:val="0"/>
          <w:sz w:val="26"/>
        </w:rPr>
        <w:t xml:space="preserve">97. Табель учета рабочего времени муниципальных служащих или лиц, работающих на должностях по техническому обеспечению деятельности Исполнительного комитета, аппарата Исполнительного комитета предоставляется управлением персоналом и муниципальной службой Исполнительного комитета в отдел бухгалтерского учета и отчётности Исполнительного комитета не позднее двух дней до окончания текущего месяца. Распоряжения Исполнительного комитета, содержащие нормы трудового права – за пять дней до наступления событий. </w:t>
      </w:r>
    </w:p>
    <w:p w:rsidR="00F06D11" w:rsidRDefault="0038137D">
      <w:pPr>
        <w:pStyle w:val="2"/>
        <w:tabs>
          <w:tab w:val="clear" w:pos="0"/>
        </w:tabs>
        <w:spacing w:line="240" w:lineRule="auto"/>
        <w:ind w:firstLine="709"/>
        <w:contextualSpacing/>
        <w:rPr>
          <w:rFonts w:ascii="PT Astra Serif" w:hAnsi="PT Astra Serif" w:cs="PT Astra Serif"/>
          <w:sz w:val="26"/>
        </w:rPr>
      </w:pPr>
      <w:r>
        <w:rPr>
          <w:rFonts w:ascii="PT Astra Serif" w:hAnsi="PT Astra Serif" w:cs="PT Astra Serif"/>
          <w:sz w:val="26"/>
        </w:rPr>
        <w:t xml:space="preserve">98. Корректирующие данные по табели должны вноситься отдельной строчкой в табели следующего месяца. </w:t>
      </w: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bCs/>
          <w:sz w:val="26"/>
          <w:szCs w:val="26"/>
        </w:rPr>
        <w:t>99. Управление персоналом и муниципальной службой Исполнительного комитета выдает сотруднику уведомление об отпуске за 2 недели, в соответствии с Трудовым Кодексом РФ с учетом требований законодательства о муниципальной службе.</w:t>
      </w: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bCs/>
          <w:sz w:val="26"/>
          <w:szCs w:val="26"/>
        </w:rPr>
        <w:t>100. Ведение функции кадрового учета осуществляется управлением персоналом и муниципальной службой Исполнительного комитета в Государственной Информационной Системе РТ «БАРС. Бюджет-Зарплата и кадры».</w:t>
      </w: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bCs/>
          <w:sz w:val="26"/>
          <w:szCs w:val="26"/>
        </w:rPr>
        <w:t>101. Заработная плата выплачивается два раза в месяц: аванс до 20 числа текущего месяца, остаток заработной платы до 5 числа следующего месяца.</w:t>
      </w: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bCs/>
          <w:sz w:val="26"/>
          <w:szCs w:val="26"/>
        </w:rPr>
        <w:t>102. Отдел</w:t>
      </w:r>
      <w:r>
        <w:rPr>
          <w:rFonts w:ascii="PT Astra Serif" w:hAnsi="PT Astra Serif" w:cs="PT Astra Serif"/>
          <w:sz w:val="26"/>
          <w:szCs w:val="26"/>
        </w:rPr>
        <w:t xml:space="preserve"> бухгалтерского учета и отчетности</w:t>
      </w:r>
      <w:r>
        <w:rPr>
          <w:rFonts w:ascii="PT Astra Serif" w:hAnsi="PT Astra Serif" w:cs="PT Astra Serif"/>
          <w:bCs/>
          <w:sz w:val="26"/>
          <w:szCs w:val="26"/>
        </w:rPr>
        <w:t xml:space="preserve"> Исполнительного комитета предоставляет в Управление финансов Исполнительного комитета отчет о расходах и численности муниципальных служащих и лиц, работающих на должностях по техническому обеспечению деятельности Исполнительного комитета в соответствии с Приказом Минфина РФ от 28.12.2017 № 259н «Об утверждении форм отчетов о расходах и численности работников федеральных государственных органов, государственных органов субъектов Российской Федерации, органов местного самоуправления».</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bCs/>
          <w:sz w:val="26"/>
          <w:szCs w:val="26"/>
        </w:rPr>
        <w:t>103. Учет начисленной заработной платы ведется на пассивном счете 302.11 согласно Инструкции №157н.</w:t>
      </w:r>
    </w:p>
    <w:p w:rsidR="00F06D11" w:rsidRDefault="0038137D">
      <w:pPr>
        <w:pStyle w:val="Normal1"/>
        <w:ind w:firstLine="709"/>
        <w:contextualSpacing/>
        <w:jc w:val="both"/>
        <w:rPr>
          <w:rFonts w:ascii="PT Astra Serif" w:hAnsi="PT Astra Serif" w:cs="PT Astra Serif"/>
          <w:sz w:val="26"/>
          <w:szCs w:val="26"/>
        </w:rPr>
      </w:pPr>
      <w:bookmarkStart w:id="89" w:name="_ref_1-c3103df30b064c"/>
      <w:r>
        <w:rPr>
          <w:rFonts w:ascii="PT Astra Serif" w:hAnsi="PT Astra Serif" w:cs="PT Astra Serif"/>
          <w:sz w:val="26"/>
          <w:szCs w:val="26"/>
        </w:rPr>
        <w:t>104. Сверка персонифицированных данных управленческого учета с показателями балансовых счетов осуществляется ежеквартально на первое число месяца, следующего за отчетным кварталом.</w:t>
      </w:r>
      <w:bookmarkEnd w:id="89"/>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105. В Табеле учета использования рабочего времени (</w:t>
      </w:r>
      <w:hyperlink r:id="rId108" w:tgtFrame="https://cloud.consultant.ru/cloud/cgi/online.cgi?req=doc&amp;amp;base=LAW&amp;amp;n=285455&amp;amp;fld=134&amp;amp;dst=101786&amp;amp;last=1">
        <w:r>
          <w:rPr>
            <w:rStyle w:val="af0"/>
            <w:rFonts w:ascii="PT Astra Serif" w:hAnsi="PT Astra Serif" w:cs="PT Astra Serif"/>
            <w:color w:val="000000"/>
            <w:sz w:val="26"/>
            <w:szCs w:val="26"/>
            <w:u w:val="none"/>
          </w:rPr>
          <w:t>ф. 0504421</w:t>
        </w:r>
      </w:hyperlink>
      <w:r>
        <w:rPr>
          <w:rFonts w:ascii="PT Astra Serif" w:hAnsi="PT Astra Serif" w:cs="PT Astra Serif"/>
          <w:sz w:val="26"/>
          <w:szCs w:val="26"/>
        </w:rPr>
        <w:t>) отражаются фактические затраты рабочего времени.</w:t>
      </w:r>
      <w:bookmarkEnd w:id="88"/>
    </w:p>
    <w:p w:rsidR="00F06D11" w:rsidRDefault="0038137D">
      <w:pPr>
        <w:pStyle w:val="Normal1"/>
        <w:ind w:firstLine="709"/>
        <w:contextualSpacing/>
        <w:jc w:val="both"/>
        <w:rPr>
          <w:rFonts w:ascii="PT Astra Serif" w:hAnsi="PT Astra Serif" w:cs="PT Astra Serif"/>
          <w:sz w:val="26"/>
          <w:szCs w:val="26"/>
        </w:rPr>
      </w:pPr>
      <w:bookmarkStart w:id="90" w:name="_ref_1-58646ddda2a743"/>
      <w:r>
        <w:rPr>
          <w:rFonts w:ascii="PT Astra Serif" w:hAnsi="PT Astra Serif" w:cs="PT Astra Serif"/>
          <w:sz w:val="26"/>
          <w:szCs w:val="26"/>
        </w:rPr>
        <w:t>106. В целях формирования в годовой бухгалтерской (финансовой) отчетности информации об операциях со связанными сторонами к 23-му разряду номера соответствующего счета учета через точку добавляется код ХХХ(номер или буквы аналитического кода для учета операций со связанными сторонами) ХХХ "Операции со связанными сторонами". Перечень связанных сторон оформляется на основании документов, содержащих аналитическую информацию о связанных сторонах, по форме согласно Приложению № 4 к настоящей Учетной политике.</w:t>
      </w:r>
      <w:bookmarkEnd w:id="90"/>
    </w:p>
    <w:p w:rsidR="00F06D11" w:rsidRDefault="0038137D">
      <w:pPr>
        <w:pStyle w:val="Normal1"/>
        <w:ind w:firstLine="709"/>
        <w:contextualSpacing/>
        <w:jc w:val="both"/>
        <w:rPr>
          <w:rFonts w:ascii="PT Astra Serif" w:hAnsi="PT Astra Serif" w:cs="PT Astra Serif"/>
          <w:sz w:val="26"/>
          <w:szCs w:val="26"/>
        </w:rPr>
      </w:pPr>
      <w:bookmarkStart w:id="91" w:name="_ref_1-f4c21c54de794e"/>
      <w:r>
        <w:rPr>
          <w:rFonts w:ascii="PT Astra Serif" w:hAnsi="PT Astra Serif" w:cs="PT Astra Serif"/>
          <w:sz w:val="26"/>
          <w:szCs w:val="26"/>
        </w:rPr>
        <w:t>107. По не исполненной в срок и не соответствующей критериям признания актива дебиторской задолженности создается резерв.</w:t>
      </w:r>
      <w:bookmarkEnd w:id="91"/>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Величина резерва определяется комиссией по поступлению и выбытию активов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w:t>
      </w:r>
    </w:p>
    <w:p w:rsidR="00F06D11" w:rsidRDefault="0038137D">
      <w:pPr>
        <w:pStyle w:val="Normal1"/>
        <w:ind w:firstLine="709"/>
        <w:contextualSpacing/>
        <w:jc w:val="both"/>
      </w:pPr>
      <w:bookmarkStart w:id="92" w:name="_ref_1-5da98327652146"/>
      <w:r>
        <w:rPr>
          <w:rFonts w:ascii="PT Astra Serif" w:hAnsi="PT Astra Serif" w:cs="PT Astra Serif"/>
          <w:sz w:val="26"/>
          <w:szCs w:val="26"/>
        </w:rPr>
        <w:t>108. Резерв по сомнительной задолженности формируется (корректируется) один раз в год - на конец отчетного года.</w:t>
      </w:r>
      <w:bookmarkEnd w:id="92"/>
    </w:p>
    <w:p w:rsidR="00F06D11" w:rsidRDefault="00F06D11">
      <w:pPr>
        <w:pStyle w:val="Normal1"/>
        <w:ind w:firstLine="709"/>
        <w:contextualSpacing/>
        <w:jc w:val="both"/>
      </w:pPr>
    </w:p>
    <w:p w:rsidR="00F06D11" w:rsidRDefault="0038137D">
      <w:pPr>
        <w:pStyle w:val="Normal1"/>
        <w:ind w:firstLine="709"/>
        <w:contextualSpacing/>
        <w:jc w:val="center"/>
        <w:rPr>
          <w:rFonts w:ascii="PT Astra Serif" w:hAnsi="PT Astra Serif" w:cs="PT Astra Serif"/>
          <w:sz w:val="26"/>
          <w:szCs w:val="26"/>
        </w:rPr>
      </w:pPr>
      <w:bookmarkStart w:id="93" w:name="_ref_1-1d3797c7af0540"/>
      <w:r>
        <w:rPr>
          <w:rFonts w:ascii="PT Astra Serif" w:hAnsi="PT Astra Serif" w:cs="PT Astra Serif"/>
          <w:sz w:val="26"/>
          <w:szCs w:val="26"/>
        </w:rPr>
        <w:t>ГЛАВА 13. Финансовый результат</w:t>
      </w:r>
      <w:bookmarkEnd w:id="93"/>
    </w:p>
    <w:p w:rsidR="00F06D11" w:rsidRDefault="00F06D11">
      <w:pPr>
        <w:pStyle w:val="Normal1"/>
        <w:ind w:firstLine="709"/>
        <w:contextualSpacing/>
        <w:jc w:val="center"/>
        <w:rPr>
          <w:rFonts w:ascii="PT Astra Serif" w:hAnsi="PT Astra Serif" w:cs="PT Astra Serif"/>
          <w:sz w:val="26"/>
          <w:szCs w:val="26"/>
        </w:rPr>
      </w:pPr>
    </w:p>
    <w:p w:rsidR="00F06D11" w:rsidRDefault="0038137D">
      <w:pPr>
        <w:pStyle w:val="Normal1"/>
        <w:ind w:firstLine="709"/>
        <w:contextualSpacing/>
        <w:jc w:val="both"/>
        <w:rPr>
          <w:rFonts w:ascii="PT Astra Serif" w:hAnsi="PT Astra Serif" w:cs="PT Astra Serif"/>
          <w:sz w:val="26"/>
          <w:szCs w:val="26"/>
        </w:rPr>
      </w:pPr>
      <w:bookmarkStart w:id="94" w:name="_ref_1-61b634ba8fc149"/>
      <w:r>
        <w:rPr>
          <w:rFonts w:ascii="PT Astra Serif" w:hAnsi="PT Astra Serif" w:cs="PT Astra Serif"/>
          <w:sz w:val="26"/>
          <w:szCs w:val="26"/>
        </w:rPr>
        <w:t>109. Доходы от реализации нефинансовых активов признаются на дату их реализации (перехода права собственности).</w:t>
      </w:r>
      <w:bookmarkEnd w:id="94"/>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110. Доходы по условным арендным платежам (возмещение затрат по содержанию) и соответствующая задолженность дебиторов определяются с учетом условий договора аренды (безвозмездного пользования), счетов поставщиков (подрядчиков) и признаются в учете на основании Бухгалтерской справки (</w:t>
      </w:r>
      <w:hyperlink r:id="rId109" w:tgtFrame="https://cloud.consultant.ru/cloud/cgi/online.cgi?req=doc&amp;amp;base=LAW&amp;amp;n=285455&amp;amp;fld=134&amp;amp;dst=102365&amp;amp;last=1">
        <w:r>
          <w:rPr>
            <w:rStyle w:val="af0"/>
            <w:rFonts w:ascii="PT Astra Serif" w:hAnsi="PT Astra Serif" w:cs="PT Astra Serif"/>
            <w:color w:val="auto"/>
            <w:sz w:val="26"/>
            <w:szCs w:val="26"/>
            <w:u w:val="none"/>
          </w:rPr>
          <w:t>ф. 0504833</w:t>
        </w:r>
      </w:hyperlink>
      <w:r>
        <w:rPr>
          <w:rFonts w:ascii="PT Astra Serif" w:hAnsi="PT Astra Serif" w:cs="PT Astra Serif"/>
          <w:sz w:val="26"/>
          <w:szCs w:val="26"/>
        </w:rPr>
        <w:t>).</w:t>
      </w:r>
    </w:p>
    <w:p w:rsidR="00F06D11" w:rsidRDefault="0038137D">
      <w:pPr>
        <w:pStyle w:val="Normal1"/>
        <w:ind w:firstLine="709"/>
        <w:contextualSpacing/>
        <w:jc w:val="both"/>
        <w:rPr>
          <w:rFonts w:ascii="PT Astra Serif" w:hAnsi="PT Astra Serif" w:cs="PT Astra Serif"/>
          <w:sz w:val="26"/>
          <w:szCs w:val="26"/>
        </w:rPr>
      </w:pPr>
      <w:bookmarkStart w:id="95" w:name="_ref_1-f8de209f15c34c"/>
      <w:r>
        <w:rPr>
          <w:rFonts w:ascii="PT Astra Serif" w:hAnsi="PT Astra Serif" w:cs="PT Astra Serif"/>
          <w:sz w:val="26"/>
          <w:szCs w:val="26"/>
        </w:rPr>
        <w:t>111. Для учета доходов будущих периодов применяются счета 0 401 41 000 "Доходы будущих периодов к признанию в текущем году", 0 401 49 000 "Доходы будущих периодов к признанию в очередные года".</w:t>
      </w:r>
      <w:bookmarkEnd w:id="95"/>
    </w:p>
    <w:p w:rsidR="00F06D11" w:rsidRDefault="0038137D">
      <w:pPr>
        <w:pStyle w:val="Normal1"/>
        <w:ind w:firstLine="709"/>
        <w:contextualSpacing/>
        <w:jc w:val="both"/>
        <w:rPr>
          <w:rFonts w:ascii="PT Astra Serif" w:hAnsi="PT Astra Serif" w:cs="PT Astra Serif"/>
          <w:sz w:val="26"/>
          <w:szCs w:val="26"/>
        </w:rPr>
      </w:pPr>
      <w:bookmarkStart w:id="96" w:name="_ref_1-cd39ec971d784d"/>
      <w:r>
        <w:rPr>
          <w:rFonts w:ascii="PT Astra Serif" w:hAnsi="PT Astra Serif" w:cs="PT Astra Serif"/>
          <w:sz w:val="26"/>
          <w:szCs w:val="26"/>
        </w:rPr>
        <w:t>112. В расходах будущих периодов учитываются расходы на:</w:t>
      </w:r>
      <w:bookmarkEnd w:id="96"/>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 страхование имущества, гражданской ответственности;</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2) добровольное страхование (пенсионное обеспечение) сотрудников.</w:t>
      </w:r>
    </w:p>
    <w:p w:rsidR="00F06D11" w:rsidRDefault="0038137D">
      <w:pPr>
        <w:pStyle w:val="Normal1"/>
        <w:ind w:firstLine="709"/>
        <w:contextualSpacing/>
        <w:jc w:val="both"/>
        <w:rPr>
          <w:rFonts w:ascii="PT Astra Serif" w:hAnsi="PT Astra Serif" w:cs="PT Astra Serif"/>
          <w:sz w:val="26"/>
          <w:szCs w:val="26"/>
        </w:rPr>
      </w:pPr>
      <w:bookmarkStart w:id="97" w:name="_ref_1-611c7aa3f72d42"/>
      <w:r>
        <w:rPr>
          <w:rFonts w:ascii="PT Astra Serif" w:hAnsi="PT Astra Serif" w:cs="PT Astra Serif"/>
          <w:sz w:val="26"/>
          <w:szCs w:val="26"/>
        </w:rPr>
        <w:t>113. Расходы на страхование имущества (гражданской ответственности) относятся на финансовый результат текущего финансового года равномерно по 1/n за месяц в течение периода, к которому они относятся, где n - количество месяцев, в течение которых будет осуществляться списание.</w:t>
      </w:r>
      <w:bookmarkEnd w:id="97"/>
    </w:p>
    <w:p w:rsidR="00F06D11" w:rsidRDefault="0038137D">
      <w:pPr>
        <w:pStyle w:val="Normal1"/>
        <w:ind w:firstLine="709"/>
        <w:contextualSpacing/>
        <w:jc w:val="both"/>
        <w:rPr>
          <w:rFonts w:ascii="PT Astra Serif" w:hAnsi="PT Astra Serif" w:cs="PT Astra Serif"/>
          <w:sz w:val="26"/>
          <w:szCs w:val="26"/>
        </w:rPr>
      </w:pPr>
      <w:bookmarkStart w:id="98" w:name="_ref_1-4c671d0474494a"/>
      <w:r>
        <w:rPr>
          <w:rFonts w:ascii="PT Astra Serif" w:hAnsi="PT Astra Serif" w:cs="PT Astra Serif"/>
          <w:sz w:val="26"/>
          <w:szCs w:val="26"/>
        </w:rPr>
        <w:t>114. Расходы на добровольное страхование (пенсионное обеспечение) сотрудников относятся на финансовый результат текущего финансового года равномерно по 1/n за месяц в течение периода, к которому они относятся, где n - количество месяцев, в течение которых будет осуществляться списание.</w:t>
      </w:r>
      <w:bookmarkEnd w:id="98"/>
    </w:p>
    <w:p w:rsidR="00F06D11" w:rsidRDefault="0038137D">
      <w:pPr>
        <w:pStyle w:val="Normal1"/>
        <w:ind w:firstLine="709"/>
        <w:contextualSpacing/>
        <w:jc w:val="both"/>
        <w:rPr>
          <w:rFonts w:ascii="PT Astra Serif" w:hAnsi="PT Astra Serif" w:cs="PT Astra Serif"/>
          <w:sz w:val="26"/>
          <w:szCs w:val="26"/>
        </w:rPr>
      </w:pPr>
      <w:bookmarkStart w:id="99" w:name="_ref_1-7b766f6e05004a"/>
      <w:r>
        <w:rPr>
          <w:rFonts w:ascii="PT Astra Serif" w:hAnsi="PT Astra Serif" w:cs="PT Astra Serif"/>
          <w:sz w:val="26"/>
          <w:szCs w:val="26"/>
        </w:rPr>
        <w:t>115. Данные расходы относятся на финансовый результат текущего финансового года равномерно по 1/n за месяц в течение периода, к которому они относятся, где n - количество месяцев, в течение которых будет осуществляться списание.</w:t>
      </w:r>
      <w:bookmarkEnd w:id="99"/>
    </w:p>
    <w:p w:rsidR="00F06D11" w:rsidRDefault="0038137D">
      <w:pPr>
        <w:pStyle w:val="Normal1"/>
        <w:ind w:firstLine="709"/>
        <w:contextualSpacing/>
        <w:jc w:val="both"/>
        <w:rPr>
          <w:rFonts w:ascii="PT Astra Serif" w:hAnsi="PT Astra Serif" w:cs="PT Astra Serif"/>
          <w:sz w:val="26"/>
          <w:szCs w:val="26"/>
        </w:rPr>
      </w:pPr>
      <w:bookmarkStart w:id="100" w:name="_ref_1-f74f34f2f60f4d"/>
      <w:bookmarkStart w:id="101" w:name="_ref_1-70b7b8c0814e49"/>
      <w:r>
        <w:rPr>
          <w:rFonts w:ascii="PT Astra Serif" w:hAnsi="PT Astra Serif" w:cs="PT Astra Serif"/>
          <w:sz w:val="26"/>
          <w:szCs w:val="26"/>
        </w:rPr>
        <w:t>116. В учете формируются следующие резервы предстоящих расходов:</w:t>
      </w:r>
      <w:bookmarkEnd w:id="100"/>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 резерв для оплаты отпусков за фактически отработанное время и выплаты компенсаций за неиспользованный отпуск, включая страховые взносы;</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2) резерв для оплаты фактически осуществленных затрат, по которым не поступили документы контрагентов;</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3) резерв для оплаты возникающих претензий и исков.</w:t>
      </w:r>
    </w:p>
    <w:p w:rsidR="00F06D11" w:rsidRDefault="0038137D">
      <w:pPr>
        <w:pStyle w:val="Normal1"/>
        <w:ind w:firstLine="709"/>
        <w:contextualSpacing/>
        <w:jc w:val="both"/>
        <w:rPr>
          <w:rFonts w:ascii="PT Astra Serif" w:hAnsi="PT Astra Serif" w:cs="PT Astra Serif"/>
          <w:sz w:val="26"/>
          <w:szCs w:val="26"/>
        </w:rPr>
      </w:pPr>
      <w:bookmarkStart w:id="102" w:name="_ref_1-7359434ac78040"/>
      <w:bookmarkStart w:id="103" w:name="_ref_1-2b1322b21c7b45"/>
      <w:r>
        <w:rPr>
          <w:rFonts w:ascii="PT Astra Serif" w:hAnsi="PT Astra Serif" w:cs="PT Astra Serif"/>
          <w:sz w:val="26"/>
          <w:szCs w:val="26"/>
        </w:rPr>
        <w:t>117. Формирование и использование резервов предстоящих расходов осуществляется в порядке согласно приложению № 11 к настоящей Учетной политике.</w:t>
      </w:r>
      <w:bookmarkEnd w:id="102"/>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118. Резерв для оплаты отпусков за фактически отработанное время и выплаты компенсаций за неиспользованный отпуск, включая страховые взносы, рассчитывается исходя из средней заработной платы по каждой группе работников. Сумма резерва определяется по формуле, согласно п. 2.5 приложения № 11 к настоящей Учетной политике.</w:t>
      </w:r>
      <w:bookmarkEnd w:id="101"/>
    </w:p>
    <w:p w:rsidR="00F06D11" w:rsidRDefault="0038137D">
      <w:pPr>
        <w:pStyle w:val="Normal1"/>
        <w:ind w:firstLine="709"/>
        <w:contextualSpacing/>
        <w:jc w:val="both"/>
      </w:pPr>
      <w:bookmarkStart w:id="104" w:name="_ref_1-c1a65cda3f114f"/>
      <w:r>
        <w:rPr>
          <w:rFonts w:ascii="PT Astra Serif" w:hAnsi="PT Astra Serif" w:cs="PT Astra Serif"/>
          <w:sz w:val="26"/>
          <w:szCs w:val="26"/>
        </w:rPr>
        <w:t xml:space="preserve">119. Аналитический учет резервов предстоящих расходов ведется в Карточке учета средств и расчетов </w:t>
      </w:r>
      <w:hyperlink r:id="rId110" w:tgtFrame="https://cloud.consultant.ru/cloud/cgi/online.cgi?req=doc&amp;amp;base=LAW&amp;amp;n=285455&amp;amp;fld=134&amp;amp;dst=103559&amp;amp;last=1">
        <w:r>
          <w:rPr>
            <w:rStyle w:val="af0"/>
            <w:rFonts w:ascii="PT Astra Serif" w:hAnsi="PT Astra Serif" w:cs="PT Astra Serif"/>
            <w:color w:val="auto"/>
            <w:sz w:val="26"/>
            <w:szCs w:val="26"/>
            <w:u w:val="none"/>
          </w:rPr>
          <w:t>(ф. 0504051)</w:t>
        </w:r>
      </w:hyperlink>
      <w:r>
        <w:rPr>
          <w:rFonts w:ascii="PT Astra Serif" w:hAnsi="PT Astra Serif" w:cs="PT Astra Serif"/>
          <w:sz w:val="26"/>
          <w:szCs w:val="26"/>
        </w:rPr>
        <w:t>.</w:t>
      </w:r>
      <w:bookmarkEnd w:id="103"/>
    </w:p>
    <w:p w:rsidR="00F06D11" w:rsidRDefault="00F06D11">
      <w:pPr>
        <w:pStyle w:val="Normal1"/>
        <w:ind w:firstLine="709"/>
        <w:contextualSpacing/>
        <w:jc w:val="both"/>
      </w:pPr>
    </w:p>
    <w:p w:rsidR="00F06D11" w:rsidRDefault="0038137D">
      <w:pPr>
        <w:pStyle w:val="Normal1"/>
        <w:ind w:firstLine="709"/>
        <w:contextualSpacing/>
        <w:jc w:val="center"/>
        <w:rPr>
          <w:rFonts w:ascii="PT Astra Serif" w:hAnsi="PT Astra Serif" w:cs="PT Astra Serif"/>
          <w:sz w:val="26"/>
          <w:szCs w:val="26"/>
        </w:rPr>
      </w:pPr>
      <w:r>
        <w:rPr>
          <w:rFonts w:ascii="PT Astra Serif" w:hAnsi="PT Astra Serif" w:cs="PT Astra Serif"/>
          <w:sz w:val="26"/>
          <w:szCs w:val="26"/>
        </w:rPr>
        <w:t xml:space="preserve">ГЛАВА 14. Администрирование доходов, источников финансирования </w:t>
      </w:r>
    </w:p>
    <w:p w:rsidR="00F06D11" w:rsidRDefault="0038137D">
      <w:pPr>
        <w:pStyle w:val="Normal1"/>
        <w:ind w:firstLine="709"/>
        <w:contextualSpacing/>
        <w:jc w:val="center"/>
      </w:pPr>
      <w:r>
        <w:rPr>
          <w:rFonts w:ascii="PT Astra Serif" w:hAnsi="PT Astra Serif" w:cs="PT Astra Serif"/>
          <w:sz w:val="26"/>
          <w:szCs w:val="26"/>
        </w:rPr>
        <w:t>дефицита бюджета</w:t>
      </w:r>
    </w:p>
    <w:p w:rsidR="00F06D11" w:rsidRDefault="00F06D11">
      <w:pPr>
        <w:pStyle w:val="Normal1"/>
        <w:ind w:firstLine="709"/>
        <w:contextualSpacing/>
        <w:jc w:val="center"/>
      </w:pP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bCs/>
          <w:sz w:val="26"/>
          <w:szCs w:val="26"/>
        </w:rPr>
        <w:t>120. Перечень администрируемых доходов определяется решением Городского Совета о бюджете на очередной финансовый год и плановый период.</w:t>
      </w: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bCs/>
          <w:sz w:val="26"/>
          <w:szCs w:val="26"/>
        </w:rPr>
        <w:t>121. Поступление администрируемых доходов отражается в учете на основании данных, предоставленных отраслевыми органами Исполнительного комитета, на которых возложено администрирование доходов.</w:t>
      </w: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bCs/>
          <w:sz w:val="26"/>
          <w:szCs w:val="26"/>
        </w:rPr>
        <w:t>122. Отраслевые органы Исполнительного комитета, осуществляющие администрирование доходов, осуществляют начисление, учет и контроль за правильностью исчисления, полнотой и своевременностью перечисления платежей в бюджет города.</w:t>
      </w: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bCs/>
          <w:sz w:val="26"/>
          <w:szCs w:val="26"/>
        </w:rPr>
        <w:t>123. Ежемесячно до 10 числа месяца отраслевые органы Исполнительного комитета предоставляют в отдел бухгалтерского учёта и отчетности Исполнительного комитета по форме согласно приложению №9 к настоящей Учетной политике отчет о начисленных и перечисленных доходах в бюджет города.</w:t>
      </w:r>
    </w:p>
    <w:p w:rsidR="00F06D11" w:rsidRDefault="0038137D">
      <w:pPr>
        <w:pStyle w:val="Normal1"/>
        <w:ind w:firstLine="709"/>
        <w:contextualSpacing/>
        <w:jc w:val="both"/>
      </w:pPr>
      <w:bookmarkStart w:id="105" w:name="_ref_1-571227ca99514a"/>
      <w:r>
        <w:rPr>
          <w:rFonts w:ascii="PT Astra Serif" w:hAnsi="PT Astra Serif" w:cs="PT Astra Serif"/>
          <w:bCs/>
          <w:sz w:val="26"/>
          <w:szCs w:val="26"/>
        </w:rPr>
        <w:t>124. Административная и дисциплинарная ответственность за не достоверное предоставление данных возлагается на отраслевые органы Исполнительного комитета, предоставившие соответствующий отчет.</w:t>
      </w:r>
      <w:bookmarkEnd w:id="105"/>
    </w:p>
    <w:p w:rsidR="00F06D11" w:rsidRDefault="00F06D11">
      <w:pPr>
        <w:pStyle w:val="Normal1"/>
        <w:ind w:firstLine="709"/>
        <w:contextualSpacing/>
        <w:jc w:val="both"/>
      </w:pPr>
    </w:p>
    <w:p w:rsidR="00F06D11" w:rsidRDefault="0038137D">
      <w:pPr>
        <w:pStyle w:val="Normal1"/>
        <w:ind w:firstLine="709"/>
        <w:contextualSpacing/>
        <w:jc w:val="both"/>
      </w:pPr>
      <w:r>
        <w:rPr>
          <w:rFonts w:ascii="PT Astra Serif" w:eastAsia="PT Astra Serif" w:hAnsi="PT Astra Serif" w:cs="PT Astra Serif"/>
          <w:sz w:val="26"/>
          <w:szCs w:val="26"/>
        </w:rPr>
        <w:t xml:space="preserve">                                </w:t>
      </w:r>
      <w:r>
        <w:rPr>
          <w:rFonts w:ascii="PT Astra Serif" w:hAnsi="PT Astra Serif" w:cs="PT Astra Serif"/>
          <w:sz w:val="26"/>
          <w:szCs w:val="26"/>
        </w:rPr>
        <w:t>ГЛАВА 15. Санкционирование расходов</w:t>
      </w:r>
      <w:bookmarkEnd w:id="104"/>
    </w:p>
    <w:p w:rsidR="00F06D11" w:rsidRDefault="00F06D11">
      <w:pPr>
        <w:pStyle w:val="Normal1"/>
        <w:ind w:firstLine="709"/>
        <w:contextualSpacing/>
        <w:jc w:val="both"/>
      </w:pP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125. Учет принимаемых обязательств осуществляется на основании:</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 извещения о проведении конкурса, аукциона, торгов, запроса котировок, запроса предложений;</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2) контракта на поставку товаров, выполнение работ, оказание услуг;</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3) протокола конкурсной комиссии;</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4) бухгалтерской справки (</w:t>
      </w:r>
      <w:hyperlink r:id="rId111" w:tgtFrame="https://cloud.consultant.ru/cloud/cgi/online.cgi?req=doc&amp;amp;base=LAW&amp;amp;n=285455&amp;amp;fld=134&amp;amp;dst=102365&amp;amp;last=1">
        <w:r>
          <w:rPr>
            <w:rStyle w:val="af0"/>
            <w:rFonts w:ascii="PT Astra Serif" w:hAnsi="PT Astra Serif" w:cs="PT Astra Serif"/>
            <w:color w:val="auto"/>
            <w:sz w:val="26"/>
            <w:szCs w:val="26"/>
            <w:u w:val="none"/>
          </w:rPr>
          <w:t>ф. 0504833</w:t>
        </w:r>
      </w:hyperlink>
      <w:r>
        <w:rPr>
          <w:rFonts w:ascii="PT Astra Serif" w:hAnsi="PT Astra Serif" w:cs="PT Astra Serif"/>
          <w:sz w:val="26"/>
          <w:szCs w:val="26"/>
        </w:rPr>
        <w:t>).</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126. Учет обязательств осуществляется на основании:</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 договора (контракта) на поставку товаров, выполнение работ, оказание услуг;</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2) при отсутствии договора - акта выполненных работ (оказанных услуг), счета;</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3) исполнительного листа, судебного приказа;</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4) налоговой декларации, налогового расчета (расчета авансовых платежей), расчета по страховым взносам;</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5) решения налогового органа о взыскании задолженности;</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6) согласованного руководителем Исполнительного комитета заявления о выдаче под отчет денежных средств или отчета подотчетного лица о произведенных расходах;</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7) соглашения о предоставлении из бюджета межбюджетного трансферта;</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8) нормативного правового акта о предоставлении из бюджета межбюджетного трансферта, если порядком (правилами) его предоставления не предусмотрено заключение соглашения о его предоставлении;</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9) договора (соглашения) о предоставлении субсидии бюджетному или автономному учреждению;</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10) закона, нормативного правового акта, в соответствии с которыми возникают публичные нормативные обязательства.</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127. Учет денежных обязательств осуществляется на основании:</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 расчетно-платежной ведомости (</w:t>
      </w:r>
      <w:hyperlink r:id="rId112" w:tgtFrame="https://cloud.consultant.ru/cloud/cgi/online.cgi?req=doc&amp;amp;base=LAW&amp;amp;n=285455&amp;amp;fld=134&amp;amp;dst=101374&amp;amp;last=1">
        <w:r>
          <w:rPr>
            <w:rStyle w:val="af0"/>
            <w:rFonts w:ascii="PT Astra Serif" w:hAnsi="PT Astra Serif" w:cs="PT Astra Serif"/>
            <w:color w:val="auto"/>
            <w:sz w:val="26"/>
            <w:szCs w:val="26"/>
            <w:u w:val="none"/>
          </w:rPr>
          <w:t>ф. 0504401</w:t>
        </w:r>
      </w:hyperlink>
      <w:r>
        <w:rPr>
          <w:rFonts w:ascii="PT Astra Serif" w:hAnsi="PT Astra Serif" w:cs="PT Astra Serif"/>
          <w:sz w:val="26"/>
          <w:szCs w:val="26"/>
        </w:rPr>
        <w:t>);</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2) расчетной ведомости (</w:t>
      </w:r>
      <w:hyperlink r:id="rId113" w:tgtFrame="https://cloud.consultant.ru/cloud/cgi/online.cgi?req=doc&amp;amp;base=LAW&amp;amp;n=285455&amp;amp;fld=134&amp;amp;dst=101477&amp;amp;last=1">
        <w:r>
          <w:rPr>
            <w:rStyle w:val="af0"/>
            <w:rFonts w:ascii="PT Astra Serif" w:hAnsi="PT Astra Serif" w:cs="PT Astra Serif"/>
            <w:color w:val="auto"/>
            <w:sz w:val="26"/>
            <w:szCs w:val="26"/>
            <w:u w:val="none"/>
          </w:rPr>
          <w:t>ф. 0504402</w:t>
        </w:r>
      </w:hyperlink>
      <w:r>
        <w:rPr>
          <w:rFonts w:ascii="PT Astra Serif" w:hAnsi="PT Astra Serif" w:cs="PT Astra Serif"/>
          <w:sz w:val="26"/>
          <w:szCs w:val="26"/>
        </w:rPr>
        <w:t>);</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3) записки-расчета об исчислении среднего заработка при предоставлении отпуска, увольнении и других случаях (</w:t>
      </w:r>
      <w:hyperlink r:id="rId114" w:tgtFrame="https://cloud.consultant.ru/cloud/cgi/online.cgi?req=doc&amp;amp;base=LAW&amp;amp;n=285455&amp;amp;fld=134&amp;amp;dst=101878&amp;amp;last=1">
        <w:r>
          <w:rPr>
            <w:rStyle w:val="af0"/>
            <w:rFonts w:ascii="PT Astra Serif" w:hAnsi="PT Astra Serif" w:cs="PT Astra Serif"/>
            <w:color w:val="auto"/>
            <w:sz w:val="26"/>
            <w:szCs w:val="26"/>
            <w:u w:val="none"/>
          </w:rPr>
          <w:t>ф. 0504425</w:t>
        </w:r>
      </w:hyperlink>
      <w:r>
        <w:rPr>
          <w:rFonts w:ascii="PT Astra Serif" w:hAnsi="PT Astra Serif" w:cs="PT Astra Serif"/>
          <w:sz w:val="26"/>
          <w:szCs w:val="26"/>
        </w:rPr>
        <w:t>);</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4) бухгалтерской справки (</w:t>
      </w:r>
      <w:hyperlink r:id="rId115" w:tgtFrame="https://cloud.consultant.ru/cloud/cgi/online.cgi?req=doc&amp;amp;base=LAW&amp;amp;n=285455&amp;amp;fld=134&amp;amp;dst=102365&amp;amp;last=1">
        <w:r>
          <w:rPr>
            <w:rStyle w:val="af0"/>
            <w:rFonts w:ascii="PT Astra Serif" w:hAnsi="PT Astra Serif" w:cs="PT Astra Serif"/>
            <w:color w:val="auto"/>
            <w:sz w:val="26"/>
            <w:szCs w:val="26"/>
            <w:u w:val="none"/>
          </w:rPr>
          <w:t>ф. 0504833</w:t>
        </w:r>
      </w:hyperlink>
      <w:r>
        <w:rPr>
          <w:rFonts w:ascii="PT Astra Serif" w:hAnsi="PT Astra Serif" w:cs="PT Astra Serif"/>
          <w:sz w:val="26"/>
          <w:szCs w:val="26"/>
        </w:rPr>
        <w:t>);</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5) акта выполненных работ;</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6) акта об оказании услуг;</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7) акта приема-передачи;</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8) договора в случае осуществления авансовых платежей в соответствии с его условиями;</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9) авансового отчета (</w:t>
      </w:r>
      <w:hyperlink r:id="rId116" w:tgtFrame="https://cloud.consultant.ru/cloud/cgi/online.cgi?req=doc&amp;amp;base=LAW&amp;amp;n=362627&amp;amp;fld=134&amp;amp;dst=102021&amp;amp;date=21.04.2023&amp;amp;last=1">
        <w:r>
          <w:rPr>
            <w:rStyle w:val="af0"/>
            <w:rFonts w:ascii="PT Astra Serif" w:hAnsi="PT Astra Serif" w:cs="PT Astra Serif"/>
            <w:color w:val="auto"/>
            <w:sz w:val="26"/>
            <w:szCs w:val="26"/>
            <w:u w:val="none"/>
          </w:rPr>
          <w:t>ф. 0504505</w:t>
        </w:r>
      </w:hyperlink>
      <w:r>
        <w:rPr>
          <w:rFonts w:ascii="PT Astra Serif" w:hAnsi="PT Astra Serif" w:cs="PT Astra Serif"/>
          <w:sz w:val="26"/>
          <w:szCs w:val="26"/>
        </w:rPr>
        <w:t>);</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10) справки-расчета;</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11) счета;</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12) счета-фактуры;</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13) товарной накладной (ТОРГ-12) (</w:t>
      </w:r>
      <w:hyperlink r:id="rId117" w:tgtFrame="https://cloud.consultant.ru/cloud/cgi/online.cgi?req=doc&amp;amp;base=LAW&amp;amp;n=23886&amp;amp;fld=134&amp;amp;dst=101670&amp;amp;last=1">
        <w:r>
          <w:rPr>
            <w:rStyle w:val="af0"/>
            <w:rFonts w:ascii="PT Astra Serif" w:hAnsi="PT Astra Serif" w:cs="PT Astra Serif"/>
            <w:color w:val="auto"/>
            <w:sz w:val="26"/>
            <w:szCs w:val="26"/>
            <w:u w:val="none"/>
          </w:rPr>
          <w:t>ф. 0330212</w:t>
        </w:r>
      </w:hyperlink>
      <w:r>
        <w:rPr>
          <w:rFonts w:ascii="PT Astra Serif" w:hAnsi="PT Astra Serif" w:cs="PT Astra Serif"/>
          <w:sz w:val="26"/>
          <w:szCs w:val="26"/>
        </w:rPr>
        <w:t>);</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14) универсального передаточного документа;</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15) чека;</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16) квитанции;</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17) исполнительного листа, судебного приказа;</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18) налоговой декларации, налогового расчета (расчета авансовых платежей), расчета по страховым взносам;</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19) согласованного руководителем Исполнительного комитета заявления о выдаче под отчет денежных средств;</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20) решения о командировании на территории Российской Федерации;</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21) изменения решения о командировании на территории Российской Федерации;</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22) решения о командировании на территорию иностранного государства;</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23) изменения решения о командировании на территорию иностранного государства;</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24) заявки-обоснования закупки товаров, работ, услуг малого объема;</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25) заявки-обоснования закупки товаров, работ, услуг малого объема через подотчетное лицо;</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26) контракта в случае осуществления авансовых платежей в соответствии с его условиями;</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27) графика перечисления субсидии, предусмотренного договором (соглашением) о предоставлении субсидии бюджетному или автономному учреждению;</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28) предварительного отчета о выполнении муниципального задания.</w:t>
      </w:r>
    </w:p>
    <w:p w:rsidR="00F06D11" w:rsidRDefault="0038137D">
      <w:pPr>
        <w:pStyle w:val="Normal1"/>
        <w:ind w:firstLine="709"/>
        <w:contextualSpacing/>
        <w:jc w:val="both"/>
      </w:pPr>
      <w:r>
        <w:rPr>
          <w:rFonts w:ascii="PT Astra Serif" w:hAnsi="PT Astra Serif" w:cs="PT Astra Serif"/>
          <w:sz w:val="26"/>
          <w:szCs w:val="26"/>
        </w:rPr>
        <w:t xml:space="preserve">128. Аналитический учет операций по счету </w:t>
      </w:r>
      <w:hyperlink r:id="rId118" w:tgtFrame="https://cloud.consultant.ru/cloud/cgi/online.cgi?req=doc&amp;amp;base=LAW&amp;amp;n=486219&amp;amp;fld=134&amp;amp;dst=104063&amp;amp;date=17.11.2025&amp;amp;last=1">
        <w:r>
          <w:rPr>
            <w:rStyle w:val="af0"/>
            <w:rFonts w:ascii="PT Astra Serif" w:hAnsi="PT Astra Serif" w:cs="PT Astra Serif"/>
            <w:color w:val="auto"/>
            <w:sz w:val="26"/>
            <w:szCs w:val="26"/>
            <w:u w:val="none"/>
          </w:rPr>
          <w:t>0 504 00 000</w:t>
        </w:r>
      </w:hyperlink>
      <w:r>
        <w:rPr>
          <w:rFonts w:ascii="PT Astra Serif" w:hAnsi="PT Astra Serif" w:cs="PT Astra Serif"/>
          <w:sz w:val="26"/>
          <w:szCs w:val="26"/>
        </w:rPr>
        <w:t> "Сметные (плановые, прогнозные) назначения" ведется в разрезе видов (кодов - при их наличии) доходов (поступлений), расходов (выплат) в регистре (регистрах) - Карточка учета прогнозных (плановых) назначений по форме (формам) согласно приложению № 4 к настоящей Учетной политике.</w:t>
      </w:r>
    </w:p>
    <w:p w:rsidR="00F06D11" w:rsidRDefault="00F06D11">
      <w:pPr>
        <w:pStyle w:val="Normal1"/>
        <w:ind w:firstLine="709"/>
        <w:contextualSpacing/>
        <w:jc w:val="both"/>
        <w:rPr>
          <w:sz w:val="12"/>
          <w:szCs w:val="12"/>
        </w:rPr>
      </w:pPr>
    </w:p>
    <w:p w:rsidR="00F06D11" w:rsidRDefault="0038137D">
      <w:pPr>
        <w:pStyle w:val="Normal1"/>
        <w:ind w:firstLine="709"/>
        <w:contextualSpacing/>
        <w:jc w:val="center"/>
        <w:rPr>
          <w:rFonts w:ascii="PT Astra Serif" w:hAnsi="PT Astra Serif" w:cs="PT Astra Serif"/>
          <w:sz w:val="26"/>
          <w:szCs w:val="26"/>
        </w:rPr>
      </w:pPr>
      <w:r>
        <w:rPr>
          <w:rFonts w:ascii="PT Astra Serif" w:hAnsi="PT Astra Serif" w:cs="PT Astra Serif"/>
          <w:sz w:val="26"/>
          <w:szCs w:val="26"/>
        </w:rPr>
        <w:t>ГЛАВА 16. Обесценение активов</w:t>
      </w:r>
    </w:p>
    <w:p w:rsidR="00F06D11" w:rsidRDefault="00F06D11">
      <w:pPr>
        <w:pStyle w:val="Normal1"/>
        <w:ind w:firstLine="709"/>
        <w:contextualSpacing/>
        <w:jc w:val="center"/>
        <w:rPr>
          <w:rFonts w:ascii="PT Astra Serif" w:hAnsi="PT Astra Serif" w:cs="PT Astra Serif"/>
          <w:sz w:val="12"/>
          <w:szCs w:val="12"/>
        </w:rPr>
      </w:pP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129. 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130. 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131. 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132. 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В случае если предлагается решение о проведении оценки, также указывается оптимальный метод определения справедливой стоимости актива.</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133. При выявлении признаков возможного обесценения (снижения убытка) руководитель Исполнительного комитета принимает решение о необходимости (об отсутствии необходимости) определения справедливой стоимости актива.</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134. Это решение оформляется распоряжением Исполнительного комитета с указанием метода, которым стоимость будет определена.</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135. При определении справедливой стоимости актива также оценивается необходимость изменения оставшегося срока полезного использования актива.</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136. Если по результатам определения справедливой стоимости актива выявлен убыток от обесценения, то он подлежит признанию в учете.</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 xml:space="preserve">137. Убыток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119" w:tgtFrame="https://cloud.consultant.ru/cloud/cgi/online.cgi?req=doc&amp;amp;base=LAW&amp;amp;n=285455&amp;amp;fld=134&amp;amp;dst=102365&amp;amp;last=1">
        <w:r>
          <w:rPr>
            <w:rStyle w:val="af0"/>
            <w:rFonts w:ascii="PT Astra Serif" w:hAnsi="PT Astra Serif" w:cs="PT Astra Serif"/>
            <w:color w:val="auto"/>
            <w:sz w:val="26"/>
            <w:szCs w:val="26"/>
            <w:u w:val="none"/>
          </w:rPr>
          <w:t>(ф. 0504833)</w:t>
        </w:r>
      </w:hyperlink>
      <w:r>
        <w:rPr>
          <w:rFonts w:ascii="PT Astra Serif" w:hAnsi="PT Astra Serif" w:cs="PT Astra Serif"/>
          <w:i/>
          <w:sz w:val="26"/>
          <w:szCs w:val="26"/>
        </w:rPr>
        <w:t>.</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138. 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p>
    <w:p w:rsidR="00F06D11" w:rsidRDefault="0038137D">
      <w:pPr>
        <w:pStyle w:val="Normal1"/>
        <w:ind w:firstLine="709"/>
        <w:contextualSpacing/>
        <w:jc w:val="both"/>
      </w:pPr>
      <w:r>
        <w:rPr>
          <w:rFonts w:ascii="PT Astra Serif" w:hAnsi="PT Astra Serif" w:cs="PT Astra Serif"/>
          <w:sz w:val="26"/>
          <w:szCs w:val="26"/>
        </w:rPr>
        <w:t xml:space="preserve">139. 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120" w:tgtFrame="https://cloud.consultant.ru/cloud/cgi/online.cgi?req=doc&amp;amp;base=LAW&amp;amp;n=285455&amp;amp;fld=134&amp;amp;dst=102365&amp;amp;last=1">
        <w:r>
          <w:rPr>
            <w:rStyle w:val="af0"/>
            <w:rFonts w:ascii="PT Astra Serif" w:hAnsi="PT Astra Serif" w:cs="PT Astra Serif"/>
            <w:color w:val="auto"/>
            <w:sz w:val="26"/>
            <w:szCs w:val="26"/>
            <w:u w:val="none"/>
          </w:rPr>
          <w:t>(ф. 0504833)</w:t>
        </w:r>
      </w:hyperlink>
      <w:r>
        <w:rPr>
          <w:rFonts w:ascii="PT Astra Serif" w:hAnsi="PT Astra Serif" w:cs="PT Astra Serif"/>
          <w:sz w:val="26"/>
          <w:szCs w:val="26"/>
        </w:rPr>
        <w:t>.</w:t>
      </w:r>
    </w:p>
    <w:p w:rsidR="00F06D11" w:rsidRDefault="00F06D11">
      <w:pPr>
        <w:pStyle w:val="Normal1"/>
        <w:ind w:firstLine="709"/>
        <w:contextualSpacing/>
        <w:jc w:val="both"/>
      </w:pPr>
    </w:p>
    <w:p w:rsidR="00F06D11" w:rsidRDefault="0038137D">
      <w:pPr>
        <w:pStyle w:val="Normal1"/>
        <w:ind w:firstLine="709"/>
        <w:contextualSpacing/>
        <w:jc w:val="center"/>
        <w:rPr>
          <w:rFonts w:ascii="PT Astra Serif" w:hAnsi="PT Astra Serif" w:cs="PT Astra Serif"/>
          <w:sz w:val="26"/>
          <w:szCs w:val="26"/>
        </w:rPr>
      </w:pPr>
      <w:r>
        <w:rPr>
          <w:rFonts w:ascii="PT Astra Serif" w:hAnsi="PT Astra Serif" w:cs="PT Astra Serif"/>
          <w:sz w:val="26"/>
          <w:szCs w:val="26"/>
        </w:rPr>
        <w:t>ГЛАВА 17. Забалансовый учет</w:t>
      </w:r>
    </w:p>
    <w:p w:rsidR="00F06D11" w:rsidRDefault="00F06D11">
      <w:pPr>
        <w:pStyle w:val="Normal1"/>
        <w:ind w:firstLine="709"/>
        <w:contextualSpacing/>
        <w:jc w:val="center"/>
        <w:rPr>
          <w:rFonts w:ascii="PT Astra Serif" w:hAnsi="PT Astra Serif" w:cs="PT Astra Serif"/>
          <w:sz w:val="12"/>
          <w:szCs w:val="12"/>
        </w:rPr>
      </w:pP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140. Учет на забалансовых счетах ведется в разрезе кодов вида финансового обеспечения (деятельности).</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 xml:space="preserve">141. В аналитическом учете по </w:t>
      </w:r>
      <w:hyperlink r:id="rId121" w:tgtFrame="https://cloud.consultant.ru/cloud/cgi/online.cgi?req=doc&amp;amp;base=LAW&amp;amp;n=486219&amp;amp;fld=134&amp;amp;dst=104077&amp;amp;date=26.08.2025&amp;amp;last=1">
        <w:r>
          <w:rPr>
            <w:rStyle w:val="af0"/>
            <w:rFonts w:ascii="PT Astra Serif" w:hAnsi="PT Astra Serif" w:cs="PT Astra Serif"/>
            <w:color w:val="auto"/>
            <w:sz w:val="26"/>
            <w:szCs w:val="26"/>
            <w:u w:val="none"/>
          </w:rPr>
          <w:t>счету 01</w:t>
        </w:r>
      </w:hyperlink>
      <w:r>
        <w:rPr>
          <w:rFonts w:ascii="PT Astra Serif" w:hAnsi="PT Astra Serif" w:cs="PT Astra Serif"/>
          <w:sz w:val="26"/>
          <w:szCs w:val="26"/>
        </w:rPr>
        <w:t xml:space="preserve"> "Имущество, полученное в пользование" выделяются следующие группы имущества:</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 имущество казны, полученное в пользование;</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2) иное имущество.</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 xml:space="preserve">142. Аналитический учет по </w:t>
      </w:r>
      <w:hyperlink r:id="rId122" w:tgtFrame="https://cloud.consultant.ru/cloud/cgi/online.cgi?req=doc&amp;amp;base=LAW&amp;amp;n=486219&amp;amp;fld=134&amp;amp;dst=104077&amp;amp;date=26.08.2025&amp;amp;last=1">
        <w:r>
          <w:rPr>
            <w:rStyle w:val="af0"/>
            <w:rFonts w:ascii="PT Astra Serif" w:hAnsi="PT Astra Serif" w:cs="PT Astra Serif"/>
            <w:color w:val="auto"/>
            <w:sz w:val="26"/>
            <w:szCs w:val="26"/>
            <w:u w:val="none"/>
          </w:rPr>
          <w:t>счету 01</w:t>
        </w:r>
      </w:hyperlink>
      <w:r>
        <w:rPr>
          <w:rFonts w:ascii="PT Astra Serif" w:hAnsi="PT Astra Serif" w:cs="PT Astra Serif"/>
          <w:sz w:val="26"/>
          <w:szCs w:val="26"/>
        </w:rPr>
        <w:t xml:space="preserve"> "Имущество, полученное в пользование" ведется в Журнале операций по забалансовому счету </w:t>
      </w:r>
      <w:hyperlink r:id="rId123" w:tgtFrame="https://cloud.consultant.ru/cloud/cgi/online.cgi?req=doc&amp;amp;base=LAW&amp;amp;n=497176&amp;amp;fld=134&amp;amp;dst=101631&amp;amp;date=18.09.2025&amp;amp;last=1">
        <w:r>
          <w:rPr>
            <w:rStyle w:val="af0"/>
            <w:rFonts w:ascii="PT Astra Serif" w:hAnsi="PT Astra Serif" w:cs="PT Astra Serif"/>
            <w:color w:val="auto"/>
            <w:sz w:val="26"/>
            <w:szCs w:val="26"/>
            <w:u w:val="none"/>
          </w:rPr>
          <w:t>(ф. 0509213)</w:t>
        </w:r>
      </w:hyperlink>
      <w:r>
        <w:rPr>
          <w:rFonts w:ascii="PT Astra Serif" w:hAnsi="PT Astra Serif" w:cs="PT Astra Serif"/>
          <w:sz w:val="26"/>
          <w:szCs w:val="26"/>
        </w:rPr>
        <w:t>.</w:t>
      </w: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sz w:val="26"/>
          <w:szCs w:val="26"/>
        </w:rPr>
        <w:t xml:space="preserve">143. Аналитический учет по  </w:t>
      </w:r>
      <w:hyperlink r:id="rId124" w:tgtFrame="https://cloud.consultant.ru/cloud/cgi/online.cgi?req=doc&amp;amp;base=LAW&amp;amp;n=486219&amp;amp;fld=134&amp;amp;dst=104082&amp;amp;date=26.08.2025&amp;amp;last=1">
        <w:r>
          <w:rPr>
            <w:rStyle w:val="af0"/>
            <w:rFonts w:ascii="PT Astra Serif" w:hAnsi="PT Astra Serif" w:cs="PT Astra Serif"/>
            <w:color w:val="auto"/>
            <w:sz w:val="26"/>
            <w:szCs w:val="26"/>
            <w:u w:val="none"/>
          </w:rPr>
          <w:t>счету 02</w:t>
        </w:r>
      </w:hyperlink>
      <w:r>
        <w:rPr>
          <w:rFonts w:ascii="PT Astra Serif" w:hAnsi="PT Astra Serif" w:cs="PT Astra Serif"/>
          <w:sz w:val="26"/>
          <w:szCs w:val="26"/>
        </w:rPr>
        <w:t xml:space="preserve"> "Материальные ценности на хранении" ведется по стоимости -1 рубль.</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bCs/>
          <w:sz w:val="26"/>
          <w:szCs w:val="26"/>
        </w:rPr>
        <w:t xml:space="preserve">144. На забалансовом </w:t>
      </w:r>
      <w:hyperlink r:id="rId125" w:tgtFrame="https://cloud.consultant.ru/cloud/cgi/online.cgi?req=doc&amp;amp;base=LAW&amp;amp;n=486219&amp;amp;fld=134&amp;amp;dst=104089&amp;amp;date=26.08.2025&amp;amp;last=1">
        <w:r>
          <w:rPr>
            <w:rStyle w:val="af0"/>
            <w:rFonts w:ascii="PT Astra Serif" w:hAnsi="PT Astra Serif" w:cs="PT Astra Serif"/>
            <w:bCs/>
            <w:color w:val="auto"/>
            <w:sz w:val="26"/>
            <w:szCs w:val="26"/>
            <w:u w:val="none"/>
          </w:rPr>
          <w:t>счете 03</w:t>
        </w:r>
      </w:hyperlink>
      <w:r>
        <w:rPr>
          <w:rFonts w:ascii="PT Astra Serif" w:hAnsi="PT Astra Serif" w:cs="PT Astra Serif"/>
          <w:bCs/>
          <w:sz w:val="26"/>
          <w:szCs w:val="26"/>
        </w:rPr>
        <w:t xml:space="preserve"> "Бланки строгой отчетности" учет ведется по группам:</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 трудовые книжки;</w:t>
      </w: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sz w:val="26"/>
          <w:szCs w:val="26"/>
        </w:rPr>
        <w:t>2) вкладыши в трудовые книжки.</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bCs/>
          <w:sz w:val="26"/>
          <w:szCs w:val="26"/>
        </w:rPr>
        <w:t xml:space="preserve">145. На забалансовом </w:t>
      </w:r>
      <w:hyperlink r:id="rId126" w:tgtFrame="https://cloud.consultant.ru/cloud/cgi/online.cgi?req=doc&amp;amp;base=LAW&amp;amp;n=486219&amp;amp;fld=134&amp;amp;dst=104095&amp;amp;date=26.08.2025&amp;amp;last=1">
        <w:r>
          <w:rPr>
            <w:rStyle w:val="af0"/>
            <w:rFonts w:ascii="PT Astra Serif" w:hAnsi="PT Astra Serif" w:cs="PT Astra Serif"/>
            <w:bCs/>
            <w:color w:val="auto"/>
            <w:sz w:val="26"/>
            <w:szCs w:val="26"/>
            <w:u w:val="none"/>
          </w:rPr>
          <w:t>счете 04</w:t>
        </w:r>
      </w:hyperlink>
      <w:r>
        <w:rPr>
          <w:rFonts w:ascii="PT Astra Serif" w:hAnsi="PT Astra Serif" w:cs="PT Astra Serif"/>
          <w:bCs/>
          <w:sz w:val="26"/>
          <w:szCs w:val="26"/>
        </w:rPr>
        <w:t xml:space="preserve"> "Сомнительная задолженность" учет ведется по группам:</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 задолженность по доходам;</w:t>
      </w: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sz w:val="26"/>
          <w:szCs w:val="26"/>
        </w:rPr>
        <w:t>2) задолженность по авансам.</w:t>
      </w: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bCs/>
          <w:sz w:val="26"/>
          <w:szCs w:val="26"/>
        </w:rPr>
        <w:t xml:space="preserve">146. Аналитический учет по </w:t>
      </w:r>
      <w:hyperlink r:id="rId127" w:tgtFrame="https://cloud.consultant.ru/cloud/cgi/online.cgi?req=doc&amp;amp;base=LAW&amp;amp;n=486219&amp;amp;fld=134&amp;amp;dst=104095&amp;amp;date=19.09.2025&amp;amp;last=1">
        <w:r>
          <w:rPr>
            <w:rStyle w:val="af0"/>
            <w:rFonts w:ascii="PT Astra Serif" w:hAnsi="PT Astra Serif" w:cs="PT Astra Serif"/>
            <w:bCs/>
            <w:color w:val="auto"/>
            <w:sz w:val="26"/>
            <w:szCs w:val="26"/>
            <w:u w:val="none"/>
          </w:rPr>
          <w:t>счету 04</w:t>
        </w:r>
      </w:hyperlink>
      <w:r>
        <w:rPr>
          <w:rFonts w:ascii="PT Astra Serif" w:hAnsi="PT Astra Serif" w:cs="PT Astra Serif"/>
          <w:bCs/>
          <w:sz w:val="26"/>
          <w:szCs w:val="26"/>
        </w:rPr>
        <w:t xml:space="preserve"> "Сомнительная задолженность" ведется в Карточке учета средств и расчетов </w:t>
      </w:r>
      <w:hyperlink r:id="rId128" w:tgtFrame="https://cloud.consultant.ru/cloud/cgi/online.cgi?req=doc&amp;amp;base=LAW&amp;amp;n=362627&amp;amp;fld=134&amp;amp;dst=103559&amp;amp;date=19.09.2025&amp;amp;last=1">
        <w:r>
          <w:rPr>
            <w:rStyle w:val="af0"/>
            <w:rFonts w:ascii="PT Astra Serif" w:hAnsi="PT Astra Serif" w:cs="PT Astra Serif"/>
            <w:bCs/>
            <w:color w:val="auto"/>
            <w:sz w:val="26"/>
            <w:szCs w:val="26"/>
            <w:u w:val="none"/>
          </w:rPr>
          <w:t>(ф. 0504051)</w:t>
        </w:r>
      </w:hyperlink>
      <w:r>
        <w:rPr>
          <w:rFonts w:ascii="PT Astra Serif" w:hAnsi="PT Astra Serif" w:cs="PT Astra Serif"/>
          <w:bCs/>
          <w:sz w:val="26"/>
          <w:szCs w:val="26"/>
        </w:rPr>
        <w:t>.</w:t>
      </w: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bCs/>
          <w:sz w:val="26"/>
          <w:szCs w:val="26"/>
        </w:rPr>
        <w:t xml:space="preserve">147. Аналитический учет по </w:t>
      </w:r>
      <w:hyperlink r:id="rId129" w:tgtFrame="https://cloud.consultant.ru/cloud/cgi/online.cgi?req=doc&amp;amp;base=LAW&amp;amp;n=486219&amp;amp;fld=134&amp;amp;dst=104108&amp;amp;date=19.09.2025&amp;amp;last=1">
        <w:r>
          <w:rPr>
            <w:rStyle w:val="af0"/>
            <w:rFonts w:ascii="PT Astra Serif" w:hAnsi="PT Astra Serif" w:cs="PT Astra Serif"/>
            <w:bCs/>
            <w:color w:val="auto"/>
            <w:sz w:val="26"/>
            <w:szCs w:val="26"/>
            <w:u w:val="none"/>
          </w:rPr>
          <w:t>счету 07</w:t>
        </w:r>
      </w:hyperlink>
      <w:r>
        <w:rPr>
          <w:rFonts w:ascii="PT Astra Serif" w:hAnsi="PT Astra Serif" w:cs="PT Astra Serif"/>
          <w:bCs/>
          <w:sz w:val="26"/>
          <w:szCs w:val="26"/>
        </w:rPr>
        <w:t xml:space="preserve"> "Награды, призы, кубки и ценные подарки, сувениры" ведется в Карточке количественно-суммового учета материальных ценностей </w:t>
      </w:r>
      <w:hyperlink r:id="rId130" w:tgtFrame="https://cloud.consultant.ru/cloud/cgi/online.cgi?req=doc&amp;amp;base=LAW&amp;amp;n=362627&amp;amp;fld=134&amp;amp;dst=103203,1&amp;amp;date=18.09.2025&amp;amp;last=1">
        <w:r>
          <w:rPr>
            <w:rStyle w:val="af0"/>
            <w:rFonts w:ascii="PT Astra Serif" w:hAnsi="PT Astra Serif" w:cs="PT Astra Serif"/>
            <w:bCs/>
            <w:color w:val="auto"/>
            <w:sz w:val="26"/>
            <w:szCs w:val="26"/>
            <w:u w:val="none"/>
          </w:rPr>
          <w:t>(ф. 0504041)</w:t>
        </w:r>
      </w:hyperlink>
      <w:r>
        <w:rPr>
          <w:rFonts w:ascii="PT Astra Serif" w:hAnsi="PT Astra Serif" w:cs="PT Astra Serif"/>
          <w:bCs/>
          <w:sz w:val="26"/>
          <w:szCs w:val="26"/>
        </w:rPr>
        <w:t>.</w:t>
      </w: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bCs/>
          <w:sz w:val="26"/>
          <w:szCs w:val="26"/>
        </w:rPr>
        <w:t xml:space="preserve">148. Подарки, полученные в связи с протокольными мероприятиями, служебными командировками и другими официальными мероприятиями, отражаются на забалансовом </w:t>
      </w:r>
      <w:hyperlink r:id="rId131" w:tgtFrame="https://cloud.consultant.ru/cloud/cgi/online.cgi?req=doc&amp;amp;base=LAW&amp;amp;n=486219&amp;amp;fld=134&amp;amp;dst=104108&amp;amp;date=26.08.2025&amp;amp;last=1">
        <w:r>
          <w:rPr>
            <w:rStyle w:val="af0"/>
            <w:rFonts w:ascii="PT Astra Serif" w:hAnsi="PT Astra Serif" w:cs="PT Astra Serif"/>
            <w:bCs/>
            <w:color w:val="auto"/>
            <w:sz w:val="26"/>
            <w:szCs w:val="26"/>
            <w:u w:val="none"/>
          </w:rPr>
          <w:t>счете 07</w:t>
        </w:r>
      </w:hyperlink>
      <w:r>
        <w:rPr>
          <w:rFonts w:ascii="PT Astra Serif" w:hAnsi="PT Astra Serif" w:cs="PT Astra Serif"/>
          <w:bCs/>
          <w:sz w:val="26"/>
          <w:szCs w:val="26"/>
        </w:rPr>
        <w:t xml:space="preserve"> "Награды, призы, кубки и ценные подарки, сувениры". В момент получения служащим указанного имущества оно подлежит отражению на счете 07 на основании представленного им уведомления.</w:t>
      </w: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bCs/>
          <w:sz w:val="26"/>
          <w:szCs w:val="26"/>
        </w:rPr>
        <w:t>149. Подарки, полученные в связи с протокольными мероприятиями, служебными командировками и другими официальными мероприятиями, учитываются в условной оценке: одна штука - один рубль.</w:t>
      </w: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bCs/>
          <w:sz w:val="26"/>
          <w:szCs w:val="26"/>
        </w:rPr>
        <w:t>150. Документы о вручении ценных подарков (сувенирной продукции) оформляются в  порядке согласно приложению № 12 к настоящей Учетной политике.</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bCs/>
          <w:sz w:val="26"/>
          <w:szCs w:val="26"/>
        </w:rPr>
        <w:t xml:space="preserve">151. На забалансовом </w:t>
      </w:r>
      <w:hyperlink r:id="rId132" w:tgtFrame="https://cloud.consultant.ru/cloud/cgi/online.cgi?req=doc&amp;amp;base=LAW&amp;amp;n=486219&amp;amp;fld=134&amp;amp;dst=104123&amp;amp;date=26.08.2025&amp;amp;last=1">
        <w:r>
          <w:rPr>
            <w:rStyle w:val="af0"/>
            <w:rFonts w:ascii="PT Astra Serif" w:hAnsi="PT Astra Serif" w:cs="PT Astra Serif"/>
            <w:bCs/>
            <w:color w:val="auto"/>
            <w:sz w:val="26"/>
            <w:szCs w:val="26"/>
            <w:u w:val="none"/>
          </w:rPr>
          <w:t>счете 10</w:t>
        </w:r>
      </w:hyperlink>
      <w:r>
        <w:rPr>
          <w:rFonts w:ascii="PT Astra Serif" w:hAnsi="PT Astra Serif" w:cs="PT Astra Serif"/>
          <w:bCs/>
          <w:sz w:val="26"/>
          <w:szCs w:val="26"/>
        </w:rPr>
        <w:t xml:space="preserve"> "Обеспечение исполнения обязательств" учет ведется по видам обеспечений:</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 задатки;</w:t>
      </w: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sz w:val="26"/>
          <w:szCs w:val="26"/>
        </w:rPr>
        <w:t>2) независимые (банковские) гарантии.</w:t>
      </w: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bCs/>
          <w:sz w:val="26"/>
          <w:szCs w:val="26"/>
        </w:rPr>
        <w:t xml:space="preserve">152. Аналитический учет по </w:t>
      </w:r>
      <w:hyperlink r:id="rId133" w:tgtFrame="https://cloud.consultant.ru/cloud/cgi/online.cgi?req=doc&amp;amp;base=LAW&amp;amp;n=486219&amp;amp;fld=134&amp;amp;dst=104123&amp;amp;date=19.09.2025&amp;amp;last=1">
        <w:r>
          <w:rPr>
            <w:rStyle w:val="af0"/>
            <w:rFonts w:ascii="PT Astra Serif" w:hAnsi="PT Astra Serif" w:cs="PT Astra Serif"/>
            <w:bCs/>
            <w:color w:val="auto"/>
            <w:sz w:val="26"/>
            <w:szCs w:val="26"/>
            <w:u w:val="none"/>
          </w:rPr>
          <w:t>счету 10</w:t>
        </w:r>
      </w:hyperlink>
      <w:r>
        <w:rPr>
          <w:rFonts w:ascii="PT Astra Serif" w:hAnsi="PT Astra Serif" w:cs="PT Astra Serif"/>
          <w:bCs/>
          <w:sz w:val="26"/>
          <w:szCs w:val="26"/>
        </w:rPr>
        <w:t xml:space="preserve"> "Обеспечение исполнения обязательств" ведется в Карточке учета средств и расчетов </w:t>
      </w:r>
      <w:hyperlink r:id="rId134" w:tgtFrame="https://cloud.consultant.ru/cloud/cgi/online.cgi?req=doc&amp;amp;base=LAW&amp;amp;n=362627&amp;amp;fld=134&amp;amp;dst=103559&amp;amp;date=19.09.2025&amp;amp;last=1">
        <w:r>
          <w:rPr>
            <w:rStyle w:val="af0"/>
            <w:rFonts w:ascii="PT Astra Serif" w:hAnsi="PT Astra Serif" w:cs="PT Astra Serif"/>
            <w:bCs/>
            <w:color w:val="auto"/>
            <w:sz w:val="26"/>
            <w:szCs w:val="26"/>
            <w:u w:val="none"/>
          </w:rPr>
          <w:t>(ф. 0504051)</w:t>
        </w:r>
      </w:hyperlink>
      <w:r>
        <w:rPr>
          <w:rFonts w:ascii="PT Astra Serif" w:hAnsi="PT Astra Serif" w:cs="PT Astra Serif"/>
          <w:bCs/>
          <w:sz w:val="26"/>
          <w:szCs w:val="26"/>
        </w:rPr>
        <w:t>.</w:t>
      </w: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bCs/>
          <w:sz w:val="26"/>
          <w:szCs w:val="26"/>
        </w:rPr>
        <w:t xml:space="preserve">153. Аналитический учет по счетам </w:t>
      </w:r>
      <w:hyperlink r:id="rId135" w:tgtFrame="https://cloud.consultant.ru/cloud/cgi/online.cgi?req=doc&amp;amp;base=LAW&amp;amp;n=486219&amp;amp;fld=134&amp;amp;dst=104146&amp;amp;date=26.08.2025&amp;amp;last=1">
        <w:r>
          <w:rPr>
            <w:rStyle w:val="af0"/>
            <w:rFonts w:ascii="PT Astra Serif" w:hAnsi="PT Astra Serif" w:cs="PT Astra Serif"/>
            <w:bCs/>
            <w:color w:val="auto"/>
            <w:sz w:val="26"/>
            <w:szCs w:val="26"/>
            <w:u w:val="none"/>
          </w:rPr>
          <w:t>17</w:t>
        </w:r>
      </w:hyperlink>
      <w:r>
        <w:rPr>
          <w:rFonts w:ascii="PT Astra Serif" w:hAnsi="PT Astra Serif" w:cs="PT Astra Serif"/>
          <w:bCs/>
          <w:sz w:val="26"/>
          <w:szCs w:val="26"/>
        </w:rPr>
        <w:t xml:space="preserve"> "Поступления денежных средств" и </w:t>
      </w:r>
      <w:hyperlink r:id="rId136" w:tgtFrame="https://cloud.consultant.ru/cloud/cgi/online.cgi?req=doc&amp;amp;base=LAW&amp;amp;n=486219&amp;amp;fld=134&amp;amp;dst=104152&amp;amp;date=26.08.2025&amp;amp;last=1">
        <w:r>
          <w:rPr>
            <w:rStyle w:val="af0"/>
            <w:rFonts w:ascii="PT Astra Serif" w:hAnsi="PT Astra Serif" w:cs="PT Astra Serif"/>
            <w:bCs/>
            <w:color w:val="auto"/>
            <w:sz w:val="26"/>
            <w:szCs w:val="26"/>
            <w:u w:val="none"/>
          </w:rPr>
          <w:t>18</w:t>
        </w:r>
      </w:hyperlink>
      <w:r>
        <w:rPr>
          <w:rFonts w:ascii="PT Astra Serif" w:hAnsi="PT Astra Serif" w:cs="PT Astra Serif"/>
          <w:bCs/>
          <w:sz w:val="26"/>
          <w:szCs w:val="26"/>
        </w:rPr>
        <w:t xml:space="preserve"> "Выбытия денежных средств" ведется в Карточке учета средств и расчетов (</w:t>
      </w:r>
      <w:hyperlink r:id="rId137" w:tgtFrame="https://cloud.consultant.ru/cloud/cgi/online.cgi?req=doc&amp;amp;base=LAW&amp;amp;n=285455&amp;amp;fld=134&amp;amp;dst=103559&amp;amp;date=25.10.2018&amp;amp;last=1">
        <w:r>
          <w:rPr>
            <w:rStyle w:val="af0"/>
            <w:rFonts w:ascii="PT Astra Serif" w:hAnsi="PT Astra Serif" w:cs="PT Astra Serif"/>
            <w:bCs/>
            <w:color w:val="auto"/>
            <w:sz w:val="26"/>
            <w:szCs w:val="26"/>
            <w:u w:val="none"/>
          </w:rPr>
          <w:t>ф. 0504051</w:t>
        </w:r>
      </w:hyperlink>
      <w:r>
        <w:rPr>
          <w:rFonts w:ascii="PT Astra Serif" w:hAnsi="PT Astra Serif" w:cs="PT Astra Serif"/>
          <w:bCs/>
          <w:sz w:val="26"/>
          <w:szCs w:val="26"/>
        </w:rPr>
        <w:t>).</w:t>
      </w: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bCs/>
          <w:sz w:val="26"/>
          <w:szCs w:val="26"/>
        </w:rPr>
        <w:t xml:space="preserve">154. Аналитический учет по </w:t>
      </w:r>
      <w:hyperlink r:id="rId138" w:tgtFrame="https://cloud.consultant.ru/cloud/cgi/online.cgi?req=doc&amp;amp;base=LAW&amp;amp;n=486219&amp;amp;fld=134&amp;amp;dst=104146&amp;amp;date=26.08.2025&amp;amp;last=1">
        <w:r>
          <w:rPr>
            <w:rStyle w:val="af0"/>
            <w:rFonts w:ascii="PT Astra Serif" w:hAnsi="PT Astra Serif" w:cs="PT Astra Serif"/>
            <w:bCs/>
            <w:color w:val="auto"/>
            <w:sz w:val="26"/>
            <w:szCs w:val="26"/>
            <w:u w:val="none"/>
          </w:rPr>
          <w:t>счету 17</w:t>
        </w:r>
      </w:hyperlink>
      <w:r>
        <w:rPr>
          <w:rFonts w:ascii="PT Astra Serif" w:hAnsi="PT Astra Serif" w:cs="PT Astra Serif"/>
          <w:bCs/>
          <w:sz w:val="26"/>
          <w:szCs w:val="26"/>
        </w:rPr>
        <w:t xml:space="preserve"> "Поступления денежных средств" при учете расчетов по целевым поступлениям (выбытиям) ведется в разрезе контрагентов (плательщиков (групп плательщиков)), правовых оснований с датой исполнения, идентификационных номеров расчетов (уникальных идентификаторов начислений (при наличии).</w:t>
      </w: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bCs/>
          <w:sz w:val="26"/>
          <w:szCs w:val="26"/>
        </w:rPr>
        <w:t xml:space="preserve">155. Аналитический учет по </w:t>
      </w:r>
      <w:hyperlink r:id="rId139" w:tgtFrame="https://cloud.consultant.ru/cloud/cgi/online.cgi?req=doc&amp;amp;base=LAW&amp;amp;n=486219&amp;amp;fld=134&amp;amp;dst=104152&amp;amp;date=26.08.2025&amp;amp;last=1">
        <w:r>
          <w:rPr>
            <w:rStyle w:val="af0"/>
            <w:rFonts w:ascii="PT Astra Serif" w:hAnsi="PT Astra Serif" w:cs="PT Astra Serif"/>
            <w:bCs/>
            <w:color w:val="auto"/>
            <w:sz w:val="26"/>
            <w:szCs w:val="26"/>
            <w:u w:val="none"/>
          </w:rPr>
          <w:t>счету 18</w:t>
        </w:r>
      </w:hyperlink>
      <w:r>
        <w:rPr>
          <w:rFonts w:ascii="PT Astra Serif" w:hAnsi="PT Astra Serif" w:cs="PT Astra Serif"/>
          <w:bCs/>
          <w:sz w:val="26"/>
          <w:szCs w:val="26"/>
        </w:rPr>
        <w:t xml:space="preserve"> "Выбытия денежных средств" при учете расчетов по целевым выбытиям (поступлениям) ведется в разрезе контрагентов (плательщиков (групп плательщиков)), правовых оснований с датой исполнения, идентификационных номеров расчетов (уникальных идентификаторов начислений (при наличии).</w:t>
      </w: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bCs/>
          <w:sz w:val="26"/>
          <w:szCs w:val="26"/>
        </w:rPr>
        <w:t xml:space="preserve">156. Аналитический учет невыясненных поступлений бюджета прошлых лет ведется на </w:t>
      </w:r>
      <w:hyperlink r:id="rId140" w:tgtFrame="https://cloud.consultant.ru/cloud/cgi/online.cgi?req=doc&amp;amp;base=LAW&amp;amp;n=486219&amp;amp;fld=134&amp;amp;dst=104157&amp;amp;date=26.08.2025&amp;amp;last=1">
        <w:r>
          <w:rPr>
            <w:rStyle w:val="af0"/>
            <w:rFonts w:ascii="PT Astra Serif" w:hAnsi="PT Astra Serif" w:cs="PT Astra Serif"/>
            <w:bCs/>
            <w:color w:val="auto"/>
            <w:sz w:val="26"/>
            <w:szCs w:val="26"/>
            <w:u w:val="none"/>
          </w:rPr>
          <w:t>счете 19</w:t>
        </w:r>
      </w:hyperlink>
      <w:r>
        <w:rPr>
          <w:rFonts w:ascii="PT Astra Serif" w:hAnsi="PT Astra Serif" w:cs="PT Astra Serif"/>
          <w:bCs/>
          <w:sz w:val="26"/>
          <w:szCs w:val="26"/>
        </w:rPr>
        <w:t xml:space="preserve"> "Невыясненные поступления прошлых лет" в разрезе каждого плательщика, от которого поступили соответствующие средства.</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bCs/>
          <w:sz w:val="26"/>
          <w:szCs w:val="26"/>
        </w:rPr>
        <w:t xml:space="preserve">157. На забалансовый </w:t>
      </w:r>
      <w:hyperlink r:id="rId141" w:tgtFrame="https://cloud.consultant.ru/cloud/cgi/online.cgi?req=doc&amp;amp;base=LAW&amp;amp;n=486219&amp;amp;fld=134&amp;amp;dst=104160&amp;amp;date=26.08.2025&amp;amp;last=1">
        <w:r>
          <w:rPr>
            <w:rStyle w:val="af0"/>
            <w:rFonts w:ascii="PT Astra Serif" w:hAnsi="PT Astra Serif" w:cs="PT Astra Serif"/>
            <w:bCs/>
            <w:color w:val="auto"/>
            <w:sz w:val="26"/>
            <w:szCs w:val="26"/>
            <w:u w:val="none"/>
          </w:rPr>
          <w:t>счет 20</w:t>
        </w:r>
      </w:hyperlink>
      <w:r>
        <w:rPr>
          <w:rFonts w:ascii="PT Astra Serif" w:hAnsi="PT Astra Serif" w:cs="PT Astra Serif"/>
          <w:bCs/>
          <w:sz w:val="26"/>
          <w:szCs w:val="26"/>
        </w:rPr>
        <w:t xml:space="preserve"> "Задолженность, невостребованная кредиторами" не востребованная кредитором задолженность принимается по  распоряжению Исполнительного комитета, изданному на основании:</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 инвентаризационной описи расчетов с поставщиками и прочими дебиторами и кредиторами;</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2) докладной записки о выявлении кредиторской задолженности, не востребованной кредиторами.</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158. Списание задолженности с забалансового учета осуществляется по итогам инвентаризации на основании решения инвентаризационной комиссии в следующих случаях:</w:t>
      </w:r>
    </w:p>
    <w:p w:rsidR="00F06D11" w:rsidRDefault="0038137D">
      <w:pPr>
        <w:pStyle w:val="Normal1"/>
        <w:ind w:firstLine="709"/>
        <w:contextualSpacing/>
        <w:jc w:val="both"/>
        <w:rPr>
          <w:rFonts w:ascii="PT Astra Serif" w:hAnsi="PT Astra Serif" w:cs="PT Astra Serif"/>
          <w:sz w:val="26"/>
          <w:szCs w:val="26"/>
        </w:rPr>
      </w:pPr>
      <w:r>
        <w:rPr>
          <w:rFonts w:ascii="PT Astra Serif" w:hAnsi="PT Astra Serif" w:cs="PT Astra Serif"/>
          <w:sz w:val="26"/>
          <w:szCs w:val="26"/>
        </w:rPr>
        <w:t>1) завершился срок возможного возобновления процедуры взыскания задолженности согласно законодательству;</w:t>
      </w: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sz w:val="26"/>
          <w:szCs w:val="26"/>
        </w:rPr>
        <w:t>2) имеются документы, подтверждающие прекращение обязательства в связи со смертью (ликвидацией) контрагента.</w:t>
      </w: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bCs/>
          <w:sz w:val="26"/>
          <w:szCs w:val="26"/>
        </w:rPr>
        <w:t xml:space="preserve">159. Основные средства на забалансовом </w:t>
      </w:r>
      <w:hyperlink r:id="rId142" w:tgtFrame="https://cloud.consultant.ru/cloud/cgi/online.cgi?req=doc&amp;amp;base=LAW&amp;amp;n=486219&amp;amp;fld=134&amp;amp;dst=104164&amp;amp;date=26.08.2025&amp;amp;last=1">
        <w:r>
          <w:rPr>
            <w:rStyle w:val="af0"/>
            <w:rFonts w:ascii="PT Astra Serif" w:hAnsi="PT Astra Serif" w:cs="PT Astra Serif"/>
            <w:bCs/>
            <w:color w:val="auto"/>
            <w:sz w:val="26"/>
            <w:szCs w:val="26"/>
            <w:u w:val="none"/>
          </w:rPr>
          <w:t>счете 21</w:t>
        </w:r>
      </w:hyperlink>
      <w:r>
        <w:rPr>
          <w:rFonts w:ascii="PT Astra Serif" w:hAnsi="PT Astra Serif" w:cs="PT Astra Serif"/>
          <w:bCs/>
          <w:sz w:val="26"/>
          <w:szCs w:val="26"/>
        </w:rPr>
        <w:t xml:space="preserve"> "Основные средства в эксплуатации" учитываются по балансовой стоимости объекта.</w:t>
      </w: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bCs/>
          <w:sz w:val="26"/>
          <w:szCs w:val="26"/>
        </w:rPr>
        <w:t xml:space="preserve">160. Аналитический учет по </w:t>
      </w:r>
      <w:hyperlink r:id="rId143" w:tgtFrame="https://cloud.consultant.ru/cloud/cgi/online.cgi?req=doc&amp;amp;base=LAW&amp;amp;n=486219&amp;amp;fld=134&amp;amp;dst=104164&amp;amp;date=19.09.2025&amp;amp;last=1">
        <w:r>
          <w:rPr>
            <w:rStyle w:val="af0"/>
            <w:rFonts w:ascii="PT Astra Serif" w:hAnsi="PT Astra Serif" w:cs="PT Astra Serif"/>
            <w:bCs/>
            <w:color w:val="auto"/>
            <w:sz w:val="26"/>
            <w:szCs w:val="26"/>
            <w:u w:val="none"/>
          </w:rPr>
          <w:t>счету 21</w:t>
        </w:r>
      </w:hyperlink>
      <w:r>
        <w:rPr>
          <w:rFonts w:ascii="PT Astra Serif" w:hAnsi="PT Astra Serif" w:cs="PT Astra Serif"/>
          <w:bCs/>
          <w:sz w:val="26"/>
          <w:szCs w:val="26"/>
        </w:rPr>
        <w:t xml:space="preserve"> "Основные средства в эксплуатации" ведется в Карточке количественно-суммового учета материальных ценностей </w:t>
      </w:r>
      <w:hyperlink r:id="rId144" w:tgtFrame="https://cloud.consultant.ru/cloud/cgi/online.cgi?req=doc&amp;amp;base=LAW&amp;amp;n=362627&amp;amp;fld=134&amp;amp;dst=103203,1&amp;amp;date=18.09.2025&amp;amp;last=1">
        <w:r>
          <w:rPr>
            <w:rStyle w:val="af0"/>
            <w:rFonts w:ascii="PT Astra Serif" w:hAnsi="PT Astra Serif" w:cs="PT Astra Serif"/>
            <w:bCs/>
            <w:color w:val="auto"/>
            <w:sz w:val="26"/>
            <w:szCs w:val="26"/>
            <w:u w:val="none"/>
          </w:rPr>
          <w:t>(ф. 0504041)</w:t>
        </w:r>
      </w:hyperlink>
      <w:r>
        <w:rPr>
          <w:rFonts w:ascii="PT Astra Serif" w:hAnsi="PT Astra Serif" w:cs="PT Astra Serif"/>
          <w:bCs/>
          <w:sz w:val="26"/>
          <w:szCs w:val="26"/>
        </w:rPr>
        <w:t>.</w:t>
      </w: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bCs/>
          <w:sz w:val="26"/>
          <w:szCs w:val="26"/>
        </w:rPr>
        <w:t xml:space="preserve">161. Аналитический учет по </w:t>
      </w:r>
      <w:hyperlink r:id="rId145" w:tgtFrame="https://cloud.consultant.ru/cloud/cgi/online.cgi?req=doc&amp;amp;base=LAW&amp;amp;n=486219&amp;amp;fld=134&amp;amp;dst=104181&amp;amp;date=19.09.2025&amp;amp;last=1">
        <w:r>
          <w:rPr>
            <w:rStyle w:val="af0"/>
            <w:rFonts w:ascii="PT Astra Serif" w:hAnsi="PT Astra Serif" w:cs="PT Astra Serif"/>
            <w:bCs/>
            <w:color w:val="auto"/>
            <w:sz w:val="26"/>
            <w:szCs w:val="26"/>
            <w:u w:val="none"/>
          </w:rPr>
          <w:t>счету 25</w:t>
        </w:r>
      </w:hyperlink>
      <w:r>
        <w:rPr>
          <w:rFonts w:ascii="PT Astra Serif" w:hAnsi="PT Astra Serif" w:cs="PT Astra Serif"/>
          <w:bCs/>
          <w:sz w:val="26"/>
          <w:szCs w:val="26"/>
        </w:rPr>
        <w:t xml:space="preserve"> "Имущество, переданное в возмездное пользование (аренду)" ведется в Карточке количественно-суммового учета материальных ценностей </w:t>
      </w:r>
      <w:hyperlink r:id="rId146" w:tgtFrame="https://cloud.consultant.ru/cloud/cgi/online.cgi?req=doc&amp;amp;base=LAW&amp;amp;n=362627&amp;amp;fld=134&amp;amp;dst=103203,1&amp;amp;date=18.09.2025&amp;amp;last=1">
        <w:r>
          <w:rPr>
            <w:rStyle w:val="af0"/>
            <w:rFonts w:ascii="PT Astra Serif" w:hAnsi="PT Astra Serif" w:cs="PT Astra Serif"/>
            <w:bCs/>
            <w:color w:val="auto"/>
            <w:sz w:val="26"/>
            <w:szCs w:val="26"/>
            <w:u w:val="none"/>
          </w:rPr>
          <w:t>(ф. 0504041)</w:t>
        </w:r>
      </w:hyperlink>
      <w:r>
        <w:rPr>
          <w:rFonts w:ascii="PT Astra Serif" w:hAnsi="PT Astra Serif" w:cs="PT Astra Serif"/>
          <w:bCs/>
          <w:sz w:val="26"/>
          <w:szCs w:val="26"/>
        </w:rPr>
        <w:t>.</w:t>
      </w: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bCs/>
          <w:sz w:val="26"/>
          <w:szCs w:val="26"/>
        </w:rPr>
        <w:t xml:space="preserve">162. Аналитический учет по </w:t>
      </w:r>
      <w:hyperlink r:id="rId147" w:tgtFrame="https://cloud.consultant.ru/cloud/cgi/online.cgi?req=doc&amp;amp;base=LAW&amp;amp;n=486219&amp;amp;fld=134&amp;amp;dst=104185&amp;amp;date=19.09.2025&amp;amp;last=1">
        <w:r>
          <w:rPr>
            <w:rStyle w:val="af0"/>
            <w:rFonts w:ascii="PT Astra Serif" w:hAnsi="PT Astra Serif" w:cs="PT Astra Serif"/>
            <w:bCs/>
            <w:color w:val="auto"/>
            <w:sz w:val="26"/>
            <w:szCs w:val="26"/>
            <w:u w:val="none"/>
          </w:rPr>
          <w:t>счету 26</w:t>
        </w:r>
      </w:hyperlink>
      <w:r>
        <w:rPr>
          <w:rFonts w:ascii="PT Astra Serif" w:hAnsi="PT Astra Serif" w:cs="PT Astra Serif"/>
          <w:bCs/>
          <w:sz w:val="26"/>
          <w:szCs w:val="26"/>
        </w:rPr>
        <w:t xml:space="preserve"> "Имущество, переданное в безвозмездное пользование" ведется в Карточке количественно-суммового учета материальных ценностей </w:t>
      </w:r>
      <w:hyperlink r:id="rId148" w:tgtFrame="https://cloud.consultant.ru/cloud/cgi/online.cgi?req=doc&amp;amp;base=LAW&amp;amp;n=362627&amp;amp;fld=134&amp;amp;dst=103203,1&amp;amp;date=18.09.2025&amp;amp;last=1">
        <w:r>
          <w:rPr>
            <w:rStyle w:val="af0"/>
            <w:rFonts w:ascii="PT Astra Serif" w:hAnsi="PT Astra Serif" w:cs="PT Astra Serif"/>
            <w:bCs/>
            <w:color w:val="auto"/>
            <w:sz w:val="26"/>
            <w:szCs w:val="26"/>
            <w:u w:val="none"/>
          </w:rPr>
          <w:t>(ф. 0504041)</w:t>
        </w:r>
      </w:hyperlink>
      <w:r>
        <w:rPr>
          <w:rFonts w:ascii="PT Astra Serif" w:hAnsi="PT Astra Serif" w:cs="PT Astra Serif"/>
          <w:bCs/>
          <w:sz w:val="26"/>
          <w:szCs w:val="26"/>
        </w:rPr>
        <w:t>.</w:t>
      </w: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bCs/>
          <w:sz w:val="26"/>
          <w:szCs w:val="26"/>
        </w:rPr>
        <w:t>163. Находящееся в оперативном управлении учреждения или хозяйственном ведении предприятия имущество концедента, являющееся объектом концессионного соглашения, учитывается на забалансовом счете 38, 39.</w:t>
      </w: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bCs/>
          <w:sz w:val="26"/>
          <w:szCs w:val="26"/>
        </w:rPr>
        <w:t>164. Фактическая сумма инвестиций концессионера по объекту концессионного соглашения отражается на последний день полугодия - каждые полгода в течение периода его создания и (или) реконструкции.</w:t>
      </w:r>
    </w:p>
    <w:p w:rsidR="00F06D11" w:rsidRDefault="0038137D">
      <w:pPr>
        <w:pStyle w:val="Normal1"/>
        <w:ind w:firstLine="709"/>
        <w:contextualSpacing/>
        <w:jc w:val="both"/>
        <w:rPr>
          <w:rFonts w:ascii="PT Astra Serif" w:hAnsi="PT Astra Serif" w:cs="PT Astra Serif"/>
          <w:bCs/>
          <w:sz w:val="26"/>
          <w:szCs w:val="26"/>
        </w:rPr>
      </w:pPr>
      <w:r>
        <w:rPr>
          <w:rFonts w:ascii="PT Astra Serif" w:hAnsi="PT Astra Serif" w:cs="PT Astra Serif"/>
          <w:bCs/>
          <w:sz w:val="26"/>
          <w:szCs w:val="26"/>
        </w:rPr>
        <w:t xml:space="preserve">165. Формирование Журнала операций текущего периода по забалансовому счету </w:t>
      </w:r>
      <w:hyperlink r:id="rId149" w:tgtFrame="https://cloud.consultant.ru/cloud/cgi/online.cgi?req=doc&amp;amp;base=LAW&amp;amp;n=424146&amp;amp;fld=134&amp;amp;dst=101631&amp;amp;date=05.05.2023&amp;amp;last=1">
        <w:r>
          <w:rPr>
            <w:rStyle w:val="af0"/>
            <w:rFonts w:ascii="PT Astra Serif" w:hAnsi="PT Astra Serif" w:cs="PT Astra Serif"/>
            <w:bCs/>
            <w:color w:val="auto"/>
            <w:sz w:val="26"/>
            <w:szCs w:val="26"/>
            <w:u w:val="none"/>
          </w:rPr>
          <w:t>(ф. 0509213)</w:t>
        </w:r>
      </w:hyperlink>
      <w:r>
        <w:rPr>
          <w:rFonts w:ascii="PT Astra Serif" w:hAnsi="PT Astra Serif" w:cs="PT Astra Serif"/>
          <w:bCs/>
          <w:sz w:val="26"/>
          <w:szCs w:val="26"/>
        </w:rPr>
        <w:t> по счетам осуществляется на каждую отчетную дату.</w:t>
      </w:r>
    </w:p>
    <w:p w:rsidR="00F06D11" w:rsidRDefault="0038137D">
      <w:pPr>
        <w:pStyle w:val="Normal1"/>
        <w:ind w:firstLine="709"/>
        <w:contextualSpacing/>
        <w:jc w:val="both"/>
        <w:rPr>
          <w:sz w:val="26"/>
          <w:szCs w:val="26"/>
        </w:rPr>
      </w:pPr>
      <w:r>
        <w:rPr>
          <w:rFonts w:ascii="PT Astra Serif" w:hAnsi="PT Astra Serif" w:cs="PT Astra Serif"/>
          <w:bCs/>
          <w:sz w:val="26"/>
          <w:szCs w:val="26"/>
        </w:rPr>
        <w:t xml:space="preserve">166. Формирование Журнала операций по исправлению ошибок прошлых лет по забалансовому счету </w:t>
      </w:r>
      <w:hyperlink r:id="rId150" w:tgtFrame="https://cloud.consultant.ru/cloud/cgi/online.cgi?req=doc&amp;amp;base=LAW&amp;amp;n=424146&amp;amp;fld=134&amp;amp;dst=101631&amp;amp;date=05.05.2023&amp;amp;last=1">
        <w:r>
          <w:rPr>
            <w:rStyle w:val="af0"/>
            <w:rFonts w:ascii="PT Astra Serif" w:hAnsi="PT Astra Serif" w:cs="PT Astra Serif"/>
            <w:bCs/>
            <w:color w:val="auto"/>
            <w:sz w:val="26"/>
            <w:szCs w:val="26"/>
            <w:u w:val="none"/>
          </w:rPr>
          <w:t>(ф. 0509213)</w:t>
        </w:r>
      </w:hyperlink>
      <w:r>
        <w:rPr>
          <w:rFonts w:ascii="PT Astra Serif" w:hAnsi="PT Astra Serif" w:cs="PT Astra Serif"/>
          <w:bCs/>
          <w:sz w:val="26"/>
          <w:szCs w:val="26"/>
        </w:rPr>
        <w:t> по счетам  осуществляется на каждую отчетную дату.</w:t>
      </w:r>
    </w:p>
    <w:p w:rsidR="00F06D11" w:rsidRDefault="00F06D11">
      <w:pPr>
        <w:pStyle w:val="Normal1"/>
        <w:ind w:firstLine="539"/>
        <w:contextualSpacing/>
        <w:rPr>
          <w:sz w:val="26"/>
          <w:szCs w:val="26"/>
        </w:rPr>
      </w:pPr>
    </w:p>
    <w:p w:rsidR="00F06D11" w:rsidRDefault="00F06D11">
      <w:pPr>
        <w:pStyle w:val="Normal1"/>
        <w:ind w:firstLine="539"/>
        <w:contextualSpacing/>
        <w:rPr>
          <w:sz w:val="26"/>
          <w:szCs w:val="26"/>
        </w:rPr>
      </w:pPr>
    </w:p>
    <w:p w:rsidR="00F06D11" w:rsidRDefault="0038137D">
      <w:pPr>
        <w:spacing w:before="0" w:after="0" w:line="240" w:lineRule="auto"/>
        <w:ind w:firstLine="0"/>
        <w:jc w:val="left"/>
        <w:rPr>
          <w:rFonts w:ascii="PT Astra Serif" w:hAnsi="PT Astra Serif" w:cs="PT Astra Serif"/>
          <w:sz w:val="26"/>
          <w:szCs w:val="26"/>
        </w:rPr>
      </w:pPr>
      <w:r>
        <w:rPr>
          <w:rFonts w:ascii="PT Astra Serif" w:hAnsi="PT Astra Serif" w:cs="PT Astra Serif"/>
          <w:sz w:val="26"/>
          <w:szCs w:val="26"/>
        </w:rPr>
        <w:t>Заместитель Руководителя Аппарата,</w:t>
      </w:r>
    </w:p>
    <w:p w:rsidR="00F06D11" w:rsidRDefault="0038137D">
      <w:pPr>
        <w:spacing w:before="0" w:after="0" w:line="240" w:lineRule="auto"/>
        <w:ind w:firstLine="0"/>
        <w:jc w:val="left"/>
        <w:rPr>
          <w:rFonts w:ascii="PT Astra Serif" w:hAnsi="PT Astra Serif" w:cs="PT Astra Serif"/>
          <w:sz w:val="26"/>
          <w:szCs w:val="26"/>
        </w:rPr>
      </w:pPr>
      <w:r>
        <w:rPr>
          <w:rFonts w:ascii="PT Astra Serif" w:hAnsi="PT Astra Serif" w:cs="PT Astra Serif"/>
          <w:sz w:val="26"/>
          <w:szCs w:val="26"/>
        </w:rPr>
        <w:t xml:space="preserve">начальник управления делопроизводством </w:t>
      </w:r>
    </w:p>
    <w:p w:rsidR="00F06D11" w:rsidRDefault="0038137D">
      <w:pPr>
        <w:spacing w:before="0" w:after="0" w:line="240" w:lineRule="auto"/>
        <w:ind w:firstLine="0"/>
        <w:jc w:val="left"/>
        <w:sectPr w:rsidR="00F06D11">
          <w:headerReference w:type="even" r:id="rId151"/>
          <w:headerReference w:type="default" r:id="rId152"/>
          <w:footerReference w:type="even" r:id="rId153"/>
          <w:footerReference w:type="default" r:id="rId154"/>
          <w:headerReference w:type="first" r:id="rId155"/>
          <w:footerReference w:type="first" r:id="rId156"/>
          <w:pgSz w:w="11906" w:h="16838"/>
          <w:pgMar w:top="720" w:right="1134" w:bottom="720" w:left="1134" w:header="0" w:footer="0" w:gutter="0"/>
          <w:pgNumType w:start="3"/>
          <w:cols w:space="720"/>
          <w:formProt w:val="0"/>
          <w:titlePg/>
          <w:docGrid w:linePitch="360"/>
        </w:sectPr>
      </w:pPr>
      <w:r>
        <w:rPr>
          <w:rFonts w:ascii="PT Astra Serif" w:hAnsi="PT Astra Serif" w:cs="PT Astra Serif"/>
          <w:sz w:val="26"/>
          <w:szCs w:val="26"/>
        </w:rPr>
        <w:t>Исполнительного комитета                                                                              Н.И. Галиева</w:t>
      </w:r>
    </w:p>
    <w:p w:rsidR="00F06D11" w:rsidRDefault="0038137D">
      <w:pPr>
        <w:spacing w:before="0" w:after="0" w:line="240" w:lineRule="auto"/>
        <w:ind w:firstLine="0"/>
        <w:jc w:val="left"/>
        <w:rPr>
          <w:rFonts w:eastAsia="Calibri"/>
        </w:rPr>
      </w:pPr>
      <w:r>
        <w:t xml:space="preserve">                                                                                                                                                                                                              Приложение № 1</w:t>
      </w:r>
    </w:p>
    <w:p w:rsidR="00F06D11" w:rsidRDefault="0038137D">
      <w:pPr>
        <w:spacing w:before="0" w:after="0" w:line="240" w:lineRule="auto"/>
        <w:ind w:left="11340" w:firstLine="0"/>
        <w:jc w:val="left"/>
        <w:rPr>
          <w:rFonts w:eastAsia="Calibri"/>
        </w:rPr>
      </w:pPr>
      <w:r>
        <w:rPr>
          <w:rFonts w:eastAsia="Calibri"/>
        </w:rPr>
        <w:t>к Учетной политике Исполнительного комитета муниципального образования город Набережные Челны</w:t>
      </w:r>
    </w:p>
    <w:p w:rsidR="00620920" w:rsidRPr="00620920" w:rsidRDefault="00620920" w:rsidP="00620920">
      <w:pPr>
        <w:spacing w:before="0" w:after="0" w:line="240" w:lineRule="auto"/>
        <w:ind w:firstLine="11340"/>
        <w:rPr>
          <w:rFonts w:eastAsia="Calibri"/>
        </w:rPr>
      </w:pPr>
      <w:r w:rsidRPr="00620920">
        <w:rPr>
          <w:rFonts w:eastAsia="Calibri"/>
        </w:rPr>
        <w:t>от «30»_12_2025 №3142-р</w:t>
      </w:r>
    </w:p>
    <w:p w:rsidR="00F06D11" w:rsidRDefault="00F06D11">
      <w:pPr>
        <w:spacing w:before="0" w:after="0" w:line="240" w:lineRule="auto"/>
        <w:ind w:firstLine="0"/>
        <w:jc w:val="right"/>
        <w:rPr>
          <w:rFonts w:eastAsia="Calibri"/>
          <w:sz w:val="32"/>
          <w:szCs w:val="32"/>
        </w:rPr>
      </w:pPr>
    </w:p>
    <w:p w:rsidR="00F06D11" w:rsidRDefault="0038137D">
      <w:pPr>
        <w:spacing w:before="0" w:after="0" w:line="240" w:lineRule="auto"/>
        <w:ind w:firstLine="0"/>
        <w:jc w:val="center"/>
        <w:rPr>
          <w:sz w:val="20"/>
          <w:szCs w:val="20"/>
        </w:rPr>
      </w:pPr>
      <w:r>
        <w:t>Отчет о движении имущества казны за _________ месяц ______года</w:t>
      </w:r>
    </w:p>
    <w:p w:rsidR="00F06D11" w:rsidRDefault="00F06D11">
      <w:pPr>
        <w:spacing w:before="0" w:line="240" w:lineRule="auto"/>
        <w:ind w:firstLine="0"/>
        <w:jc w:val="center"/>
        <w:rPr>
          <w:sz w:val="20"/>
          <w:szCs w:val="20"/>
        </w:rPr>
      </w:pPr>
    </w:p>
    <w:tbl>
      <w:tblPr>
        <w:tblW w:w="14610" w:type="dxa"/>
        <w:tblInd w:w="-291" w:type="dxa"/>
        <w:tblLayout w:type="fixed"/>
        <w:tblLook w:val="04A0" w:firstRow="1" w:lastRow="0" w:firstColumn="1" w:lastColumn="0" w:noHBand="0" w:noVBand="1"/>
      </w:tblPr>
      <w:tblGrid>
        <w:gridCol w:w="795"/>
        <w:gridCol w:w="1111"/>
        <w:gridCol w:w="1350"/>
        <w:gridCol w:w="870"/>
        <w:gridCol w:w="1095"/>
        <w:gridCol w:w="1529"/>
        <w:gridCol w:w="1020"/>
        <w:gridCol w:w="1470"/>
        <w:gridCol w:w="1426"/>
        <w:gridCol w:w="1364"/>
        <w:gridCol w:w="1125"/>
        <w:gridCol w:w="1455"/>
      </w:tblGrid>
      <w:tr w:rsidR="00F06D11">
        <w:trPr>
          <w:cantSplit/>
          <w:trHeight w:val="534"/>
        </w:trPr>
        <w:tc>
          <w:tcPr>
            <w:tcW w:w="794" w:type="dxa"/>
            <w:vMerge w:val="restart"/>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firstLine="0"/>
              <w:jc w:val="center"/>
              <w:rPr>
                <w:rFonts w:eastAsia="Calibri"/>
              </w:rPr>
            </w:pPr>
            <w:r>
              <w:rPr>
                <w:rFonts w:eastAsia="Calibri"/>
              </w:rPr>
              <w:t>№</w:t>
            </w:r>
          </w:p>
          <w:p w:rsidR="00F06D11" w:rsidRDefault="0038137D">
            <w:pPr>
              <w:spacing w:before="0" w:after="0" w:line="240" w:lineRule="auto"/>
              <w:ind w:firstLine="0"/>
              <w:jc w:val="center"/>
            </w:pPr>
            <w:r>
              <w:rPr>
                <w:rFonts w:eastAsia="Calibri"/>
              </w:rPr>
              <w:t>п/п</w:t>
            </w:r>
          </w:p>
        </w:tc>
        <w:tc>
          <w:tcPr>
            <w:tcW w:w="1111" w:type="dxa"/>
            <w:vMerge w:val="restart"/>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left="113" w:right="113" w:firstLine="0"/>
              <w:jc w:val="center"/>
              <w:rPr>
                <w:rFonts w:eastAsia="Calibri"/>
              </w:rPr>
            </w:pPr>
            <w:r>
              <w:rPr>
                <w:rFonts w:eastAsia="Calibri"/>
              </w:rPr>
              <w:t>Наименова</w:t>
            </w:r>
          </w:p>
          <w:p w:rsidR="00F06D11" w:rsidRDefault="0038137D">
            <w:pPr>
              <w:spacing w:before="0" w:after="0" w:line="240" w:lineRule="auto"/>
              <w:ind w:left="113" w:right="113" w:firstLine="0"/>
              <w:jc w:val="center"/>
              <w:rPr>
                <w:rFonts w:eastAsia="Calibri"/>
              </w:rPr>
            </w:pPr>
            <w:r>
              <w:rPr>
                <w:rFonts w:eastAsia="Calibri"/>
              </w:rPr>
              <w:t>ние</w:t>
            </w:r>
          </w:p>
          <w:p w:rsidR="00F06D11" w:rsidRDefault="0038137D">
            <w:pPr>
              <w:spacing w:before="0" w:after="0" w:line="240" w:lineRule="auto"/>
              <w:ind w:left="113" w:right="113" w:firstLine="0"/>
              <w:jc w:val="center"/>
            </w:pPr>
            <w:r>
              <w:rPr>
                <w:rFonts w:eastAsia="Calibri"/>
              </w:rPr>
              <w:t>иму</w:t>
            </w:r>
          </w:p>
          <w:p w:rsidR="00F06D11" w:rsidRDefault="0038137D">
            <w:pPr>
              <w:spacing w:before="0" w:after="0" w:line="240" w:lineRule="auto"/>
              <w:ind w:left="113" w:right="113" w:firstLine="0"/>
              <w:jc w:val="center"/>
            </w:pPr>
            <w:r>
              <w:rPr>
                <w:rFonts w:eastAsia="Calibri"/>
              </w:rPr>
              <w:t>щества</w:t>
            </w:r>
          </w:p>
        </w:tc>
        <w:tc>
          <w:tcPr>
            <w:tcW w:w="1350" w:type="dxa"/>
            <w:vMerge w:val="restart"/>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left="113" w:right="113" w:firstLine="0"/>
              <w:jc w:val="center"/>
            </w:pPr>
            <w:r>
              <w:rPr>
                <w:rFonts w:eastAsia="Calibri"/>
              </w:rPr>
              <w:t>Месяц                   пос</w:t>
            </w:r>
          </w:p>
          <w:p w:rsidR="00F06D11" w:rsidRDefault="0038137D">
            <w:pPr>
              <w:spacing w:before="0" w:after="0" w:line="240" w:lineRule="auto"/>
              <w:ind w:left="113" w:right="113" w:firstLine="0"/>
              <w:jc w:val="center"/>
            </w:pPr>
            <w:r>
              <w:rPr>
                <w:rFonts w:eastAsia="Calibri"/>
              </w:rPr>
              <w:t>тупления/выбы</w:t>
            </w:r>
          </w:p>
          <w:p w:rsidR="00F06D11" w:rsidRDefault="0038137D">
            <w:pPr>
              <w:spacing w:before="0" w:after="0" w:line="240" w:lineRule="auto"/>
              <w:ind w:left="113" w:right="113" w:firstLine="0"/>
              <w:jc w:val="center"/>
            </w:pPr>
            <w:r>
              <w:rPr>
                <w:rFonts w:eastAsia="Calibri"/>
              </w:rPr>
              <w:t>тия</w:t>
            </w:r>
          </w:p>
        </w:tc>
        <w:tc>
          <w:tcPr>
            <w:tcW w:w="870" w:type="dxa"/>
            <w:vMerge w:val="restart"/>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firstLine="0"/>
              <w:jc w:val="center"/>
            </w:pPr>
            <w:r>
              <w:rPr>
                <w:rFonts w:eastAsia="Calibri"/>
              </w:rPr>
              <w:t>Ед.         изм.</w:t>
            </w:r>
          </w:p>
        </w:tc>
        <w:tc>
          <w:tcPr>
            <w:tcW w:w="5114" w:type="dxa"/>
            <w:gridSpan w:val="4"/>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firstLine="0"/>
              <w:jc w:val="center"/>
            </w:pPr>
            <w:r>
              <w:rPr>
                <w:rFonts w:eastAsia="Calibri"/>
              </w:rPr>
              <w:t>Поступило за месяц</w:t>
            </w:r>
          </w:p>
        </w:tc>
        <w:tc>
          <w:tcPr>
            <w:tcW w:w="5370" w:type="dxa"/>
            <w:gridSpan w:val="4"/>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firstLine="0"/>
              <w:jc w:val="center"/>
            </w:pPr>
            <w:r>
              <w:rPr>
                <w:rFonts w:eastAsia="Calibri"/>
              </w:rPr>
              <w:t>Выбыло за месяц</w:t>
            </w:r>
          </w:p>
        </w:tc>
      </w:tr>
      <w:tr w:rsidR="00F06D11">
        <w:trPr>
          <w:cantSplit/>
          <w:trHeight w:val="1837"/>
        </w:trPr>
        <w:tc>
          <w:tcPr>
            <w:tcW w:w="794" w:type="dxa"/>
            <w:vMerge/>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sz w:val="20"/>
                <w:szCs w:val="20"/>
              </w:rPr>
            </w:pPr>
          </w:p>
        </w:tc>
        <w:tc>
          <w:tcPr>
            <w:tcW w:w="1111" w:type="dxa"/>
            <w:vMerge/>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sz w:val="20"/>
                <w:szCs w:val="20"/>
              </w:rPr>
            </w:pPr>
          </w:p>
        </w:tc>
        <w:tc>
          <w:tcPr>
            <w:tcW w:w="1350" w:type="dxa"/>
            <w:vMerge/>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sz w:val="20"/>
                <w:szCs w:val="20"/>
              </w:rPr>
            </w:pPr>
          </w:p>
        </w:tc>
        <w:tc>
          <w:tcPr>
            <w:tcW w:w="870" w:type="dxa"/>
            <w:vMerge/>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sz w:val="20"/>
                <w:szCs w:val="20"/>
              </w:rPr>
            </w:pPr>
          </w:p>
        </w:tc>
        <w:tc>
          <w:tcPr>
            <w:tcW w:w="1095" w:type="dxa"/>
            <w:tcBorders>
              <w:top w:val="single" w:sz="4" w:space="0" w:color="000000"/>
              <w:left w:val="single" w:sz="4" w:space="0" w:color="000000"/>
              <w:bottom w:val="single" w:sz="4" w:space="0" w:color="000000"/>
              <w:right w:val="single" w:sz="4" w:space="0" w:color="000000"/>
            </w:tcBorders>
          </w:tcPr>
          <w:p w:rsidR="00F06D11" w:rsidRDefault="0038137D">
            <w:pPr>
              <w:tabs>
                <w:tab w:val="left" w:pos="1035"/>
              </w:tabs>
              <w:spacing w:before="0" w:after="0" w:line="240" w:lineRule="auto"/>
              <w:ind w:firstLine="0"/>
              <w:jc w:val="center"/>
            </w:pPr>
            <w:r>
              <w:rPr>
                <w:rFonts w:eastAsia="Calibri"/>
              </w:rPr>
              <w:t>Кол-во</w:t>
            </w:r>
          </w:p>
        </w:tc>
        <w:tc>
          <w:tcPr>
            <w:tcW w:w="1529" w:type="dxa"/>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left="113" w:right="113" w:firstLine="0"/>
              <w:jc w:val="center"/>
            </w:pPr>
            <w:r>
              <w:rPr>
                <w:rFonts w:eastAsia="Calibri"/>
              </w:rPr>
              <w:t>Перво</w:t>
            </w:r>
          </w:p>
          <w:p w:rsidR="00F06D11" w:rsidRDefault="0038137D">
            <w:pPr>
              <w:spacing w:before="0" w:after="0" w:line="240" w:lineRule="auto"/>
              <w:ind w:left="113" w:right="113" w:firstLine="0"/>
              <w:jc w:val="center"/>
            </w:pPr>
            <w:r>
              <w:rPr>
                <w:rFonts w:eastAsia="Calibri"/>
              </w:rPr>
              <w:t>начально-восстановительная стоимость, руб.</w:t>
            </w:r>
          </w:p>
        </w:tc>
        <w:tc>
          <w:tcPr>
            <w:tcW w:w="1020" w:type="dxa"/>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left="113" w:right="113" w:firstLine="0"/>
              <w:jc w:val="center"/>
            </w:pPr>
            <w:r>
              <w:rPr>
                <w:rFonts w:eastAsia="Calibri"/>
              </w:rPr>
              <w:t>Остаточная стоимость, руб.</w:t>
            </w:r>
          </w:p>
        </w:tc>
        <w:tc>
          <w:tcPr>
            <w:tcW w:w="1470" w:type="dxa"/>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left="113" w:right="113" w:firstLine="0"/>
              <w:jc w:val="center"/>
            </w:pPr>
            <w:r>
              <w:rPr>
                <w:rFonts w:eastAsia="Calibri"/>
              </w:rPr>
              <w:t>Наименование организа</w:t>
            </w:r>
          </w:p>
          <w:p w:rsidR="00F06D11" w:rsidRDefault="0038137D">
            <w:pPr>
              <w:spacing w:before="0" w:after="0" w:line="240" w:lineRule="auto"/>
              <w:ind w:left="113" w:right="113" w:firstLine="0"/>
              <w:jc w:val="center"/>
            </w:pPr>
            <w:r>
              <w:rPr>
                <w:rFonts w:eastAsia="Calibri"/>
              </w:rPr>
              <w:t>ции, передаю</w:t>
            </w:r>
          </w:p>
          <w:p w:rsidR="00F06D11" w:rsidRDefault="0038137D">
            <w:pPr>
              <w:spacing w:before="0" w:after="0" w:line="240" w:lineRule="auto"/>
              <w:ind w:left="113" w:right="113" w:firstLine="0"/>
              <w:jc w:val="center"/>
            </w:pPr>
            <w:r>
              <w:rPr>
                <w:rFonts w:eastAsia="Calibri"/>
              </w:rPr>
              <w:t>щей имущес</w:t>
            </w:r>
          </w:p>
          <w:p w:rsidR="00F06D11" w:rsidRDefault="0038137D">
            <w:pPr>
              <w:spacing w:before="0" w:after="0" w:line="240" w:lineRule="auto"/>
              <w:ind w:left="113" w:right="113" w:firstLine="0"/>
              <w:jc w:val="center"/>
            </w:pPr>
            <w:r>
              <w:rPr>
                <w:rFonts w:eastAsia="Calibri"/>
              </w:rPr>
              <w:t>тво</w:t>
            </w:r>
          </w:p>
        </w:tc>
        <w:tc>
          <w:tcPr>
            <w:tcW w:w="1426" w:type="dxa"/>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firstLine="0"/>
              <w:jc w:val="center"/>
            </w:pPr>
            <w:r>
              <w:rPr>
                <w:rFonts w:eastAsia="Calibri"/>
              </w:rPr>
              <w:t>Кол-во</w:t>
            </w:r>
          </w:p>
        </w:tc>
        <w:tc>
          <w:tcPr>
            <w:tcW w:w="1364" w:type="dxa"/>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left="113" w:right="113" w:firstLine="0"/>
              <w:jc w:val="center"/>
            </w:pPr>
            <w:r>
              <w:rPr>
                <w:rFonts w:eastAsia="Calibri"/>
              </w:rPr>
              <w:t>Перво</w:t>
            </w:r>
          </w:p>
          <w:p w:rsidR="00F06D11" w:rsidRDefault="0038137D">
            <w:pPr>
              <w:spacing w:before="0" w:after="0" w:line="240" w:lineRule="auto"/>
              <w:ind w:left="113" w:right="113" w:firstLine="0"/>
              <w:jc w:val="center"/>
            </w:pPr>
            <w:r>
              <w:rPr>
                <w:rFonts w:eastAsia="Calibri"/>
              </w:rPr>
              <w:t>начально-восста</w:t>
            </w:r>
          </w:p>
          <w:p w:rsidR="00F06D11" w:rsidRDefault="0038137D">
            <w:pPr>
              <w:spacing w:before="0" w:after="0" w:line="240" w:lineRule="auto"/>
              <w:ind w:left="113" w:right="113" w:firstLine="0"/>
              <w:jc w:val="center"/>
            </w:pPr>
            <w:r>
              <w:rPr>
                <w:rFonts w:eastAsia="Calibri"/>
              </w:rPr>
              <w:t>новительная стои</w:t>
            </w:r>
          </w:p>
          <w:p w:rsidR="00F06D11" w:rsidRDefault="0038137D">
            <w:pPr>
              <w:spacing w:before="0" w:after="0" w:line="240" w:lineRule="auto"/>
              <w:ind w:left="113" w:right="113" w:firstLine="0"/>
              <w:jc w:val="center"/>
            </w:pPr>
            <w:r>
              <w:rPr>
                <w:rFonts w:eastAsia="Calibri"/>
              </w:rPr>
              <w:t>мость, руб.</w:t>
            </w:r>
          </w:p>
        </w:tc>
        <w:tc>
          <w:tcPr>
            <w:tcW w:w="1125" w:type="dxa"/>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left="113" w:right="113" w:firstLine="0"/>
              <w:jc w:val="center"/>
            </w:pPr>
            <w:r>
              <w:rPr>
                <w:rFonts w:eastAsia="Calibri"/>
              </w:rPr>
              <w:t>Остаточная стоимость, руб.</w:t>
            </w:r>
          </w:p>
        </w:tc>
        <w:tc>
          <w:tcPr>
            <w:tcW w:w="1455" w:type="dxa"/>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left="113" w:right="113" w:firstLine="0"/>
              <w:jc w:val="center"/>
            </w:pPr>
            <w:r>
              <w:rPr>
                <w:rFonts w:eastAsia="Calibri"/>
              </w:rPr>
              <w:t>Наимено</w:t>
            </w:r>
          </w:p>
          <w:p w:rsidR="00F06D11" w:rsidRDefault="0038137D">
            <w:pPr>
              <w:spacing w:before="0" w:after="0" w:line="240" w:lineRule="auto"/>
              <w:ind w:left="113" w:right="113" w:firstLine="0"/>
              <w:jc w:val="center"/>
            </w:pPr>
            <w:r>
              <w:rPr>
                <w:rFonts w:eastAsia="Calibri"/>
              </w:rPr>
              <w:t>вание организа</w:t>
            </w:r>
          </w:p>
          <w:p w:rsidR="00F06D11" w:rsidRDefault="0038137D">
            <w:pPr>
              <w:spacing w:before="0" w:after="0" w:line="240" w:lineRule="auto"/>
              <w:ind w:left="113" w:right="113" w:firstLine="0"/>
              <w:jc w:val="center"/>
            </w:pPr>
            <w:r>
              <w:rPr>
                <w:rFonts w:eastAsia="Calibri"/>
              </w:rPr>
              <w:t>ции, передаю</w:t>
            </w:r>
          </w:p>
          <w:p w:rsidR="00F06D11" w:rsidRDefault="0038137D">
            <w:pPr>
              <w:spacing w:before="0" w:after="0" w:line="240" w:lineRule="auto"/>
              <w:ind w:left="113" w:right="113" w:firstLine="0"/>
              <w:jc w:val="center"/>
            </w:pPr>
            <w:r>
              <w:rPr>
                <w:rFonts w:eastAsia="Calibri"/>
              </w:rPr>
              <w:t>щей имущес</w:t>
            </w:r>
          </w:p>
          <w:p w:rsidR="00F06D11" w:rsidRDefault="0038137D">
            <w:pPr>
              <w:spacing w:before="0" w:after="0" w:line="240" w:lineRule="auto"/>
              <w:ind w:left="113" w:right="113" w:firstLine="0"/>
              <w:jc w:val="center"/>
            </w:pPr>
            <w:r>
              <w:rPr>
                <w:rFonts w:eastAsia="Calibri"/>
              </w:rPr>
              <w:t>тво</w:t>
            </w:r>
          </w:p>
        </w:tc>
      </w:tr>
      <w:tr w:rsidR="00F06D11">
        <w:trPr>
          <w:cantSplit/>
          <w:trHeight w:val="706"/>
        </w:trPr>
        <w:tc>
          <w:tcPr>
            <w:tcW w:w="794" w:type="dxa"/>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firstLine="0"/>
              <w:jc w:val="center"/>
            </w:pPr>
            <w:r>
              <w:rPr>
                <w:rFonts w:eastAsia="Calibri"/>
              </w:rPr>
              <w:t>1</w:t>
            </w:r>
          </w:p>
        </w:tc>
        <w:tc>
          <w:tcPr>
            <w:tcW w:w="1111"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rPr>
            </w:pPr>
          </w:p>
        </w:tc>
        <w:tc>
          <w:tcPr>
            <w:tcW w:w="1350"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rPr>
            </w:pPr>
          </w:p>
        </w:tc>
        <w:tc>
          <w:tcPr>
            <w:tcW w:w="870"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rPr>
            </w:pPr>
          </w:p>
        </w:tc>
        <w:tc>
          <w:tcPr>
            <w:tcW w:w="1095"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rPr>
            </w:pPr>
          </w:p>
        </w:tc>
        <w:tc>
          <w:tcPr>
            <w:tcW w:w="1529"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left="113" w:right="113" w:firstLine="0"/>
              <w:jc w:val="center"/>
              <w:rPr>
                <w:rFonts w:eastAsia="Calibri"/>
              </w:rPr>
            </w:pPr>
          </w:p>
        </w:tc>
        <w:tc>
          <w:tcPr>
            <w:tcW w:w="1020"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left="113" w:right="113" w:firstLine="0"/>
              <w:jc w:val="center"/>
              <w:rPr>
                <w:rFonts w:eastAsia="Calibri"/>
              </w:rPr>
            </w:pPr>
          </w:p>
        </w:tc>
        <w:tc>
          <w:tcPr>
            <w:tcW w:w="1470"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left="113" w:right="113" w:firstLine="0"/>
              <w:jc w:val="center"/>
              <w:rPr>
                <w:rFonts w:eastAsia="Calibri"/>
              </w:rPr>
            </w:pPr>
          </w:p>
        </w:tc>
        <w:tc>
          <w:tcPr>
            <w:tcW w:w="1426"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rPr>
            </w:pPr>
          </w:p>
        </w:tc>
        <w:tc>
          <w:tcPr>
            <w:tcW w:w="1364"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left="113" w:right="113" w:firstLine="0"/>
              <w:jc w:val="center"/>
              <w:rPr>
                <w:rFonts w:eastAsia="Calibri"/>
              </w:rPr>
            </w:pPr>
          </w:p>
        </w:tc>
        <w:tc>
          <w:tcPr>
            <w:tcW w:w="1125"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left="113" w:right="113" w:firstLine="0"/>
              <w:jc w:val="center"/>
              <w:rPr>
                <w:rFonts w:eastAsia="Calibri"/>
              </w:rPr>
            </w:pPr>
          </w:p>
        </w:tc>
        <w:tc>
          <w:tcPr>
            <w:tcW w:w="1455"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left="113" w:right="113" w:firstLine="0"/>
              <w:jc w:val="center"/>
              <w:rPr>
                <w:rFonts w:eastAsia="Calibri"/>
              </w:rPr>
            </w:pPr>
          </w:p>
        </w:tc>
      </w:tr>
      <w:tr w:rsidR="00F06D11">
        <w:trPr>
          <w:cantSplit/>
          <w:trHeight w:val="706"/>
        </w:trPr>
        <w:tc>
          <w:tcPr>
            <w:tcW w:w="794"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sz w:val="20"/>
                <w:szCs w:val="20"/>
              </w:rPr>
            </w:pPr>
          </w:p>
        </w:tc>
        <w:tc>
          <w:tcPr>
            <w:tcW w:w="1111"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sz w:val="20"/>
                <w:szCs w:val="20"/>
              </w:rPr>
            </w:pPr>
          </w:p>
        </w:tc>
        <w:tc>
          <w:tcPr>
            <w:tcW w:w="1350"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sz w:val="20"/>
                <w:szCs w:val="20"/>
              </w:rPr>
            </w:pPr>
          </w:p>
        </w:tc>
        <w:tc>
          <w:tcPr>
            <w:tcW w:w="870"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sz w:val="20"/>
                <w:szCs w:val="20"/>
              </w:rPr>
            </w:pPr>
          </w:p>
        </w:tc>
        <w:tc>
          <w:tcPr>
            <w:tcW w:w="1095"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rPr>
            </w:pPr>
          </w:p>
        </w:tc>
        <w:tc>
          <w:tcPr>
            <w:tcW w:w="1529"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left="113" w:right="113" w:firstLine="0"/>
              <w:jc w:val="center"/>
              <w:rPr>
                <w:rFonts w:eastAsia="Calibri"/>
              </w:rPr>
            </w:pPr>
          </w:p>
        </w:tc>
        <w:tc>
          <w:tcPr>
            <w:tcW w:w="1020"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left="113" w:right="113" w:firstLine="0"/>
              <w:jc w:val="center"/>
              <w:rPr>
                <w:rFonts w:eastAsia="Calibri"/>
              </w:rPr>
            </w:pPr>
          </w:p>
        </w:tc>
        <w:tc>
          <w:tcPr>
            <w:tcW w:w="1470"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left="113" w:right="113" w:firstLine="0"/>
              <w:jc w:val="center"/>
              <w:rPr>
                <w:rFonts w:eastAsia="Calibri"/>
              </w:rPr>
            </w:pPr>
          </w:p>
        </w:tc>
        <w:tc>
          <w:tcPr>
            <w:tcW w:w="1426"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rPr>
            </w:pPr>
          </w:p>
        </w:tc>
        <w:tc>
          <w:tcPr>
            <w:tcW w:w="1364"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left="113" w:right="113" w:firstLine="0"/>
              <w:jc w:val="center"/>
              <w:rPr>
                <w:rFonts w:eastAsia="Calibri"/>
              </w:rPr>
            </w:pPr>
          </w:p>
        </w:tc>
        <w:tc>
          <w:tcPr>
            <w:tcW w:w="1125"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left="113" w:right="113" w:firstLine="0"/>
              <w:jc w:val="center"/>
              <w:rPr>
                <w:rFonts w:eastAsia="Calibri"/>
              </w:rPr>
            </w:pPr>
          </w:p>
        </w:tc>
        <w:tc>
          <w:tcPr>
            <w:tcW w:w="1455"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left="113" w:right="113" w:firstLine="0"/>
              <w:jc w:val="center"/>
              <w:rPr>
                <w:rFonts w:eastAsia="Calibri"/>
              </w:rPr>
            </w:pPr>
          </w:p>
        </w:tc>
      </w:tr>
      <w:tr w:rsidR="00F06D11">
        <w:trPr>
          <w:cantSplit/>
          <w:trHeight w:val="706"/>
        </w:trPr>
        <w:tc>
          <w:tcPr>
            <w:tcW w:w="794" w:type="dxa"/>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firstLine="0"/>
              <w:jc w:val="center"/>
            </w:pPr>
            <w:r>
              <w:rPr>
                <w:rFonts w:eastAsia="Calibri"/>
              </w:rPr>
              <w:t>Итого</w:t>
            </w:r>
          </w:p>
        </w:tc>
        <w:tc>
          <w:tcPr>
            <w:tcW w:w="1111"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rPr>
            </w:pPr>
          </w:p>
        </w:tc>
        <w:tc>
          <w:tcPr>
            <w:tcW w:w="1350"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rPr>
            </w:pPr>
          </w:p>
        </w:tc>
        <w:tc>
          <w:tcPr>
            <w:tcW w:w="870"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rPr>
            </w:pPr>
          </w:p>
        </w:tc>
        <w:tc>
          <w:tcPr>
            <w:tcW w:w="1095"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rPr>
            </w:pPr>
          </w:p>
        </w:tc>
        <w:tc>
          <w:tcPr>
            <w:tcW w:w="1529"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left="113" w:right="113" w:firstLine="0"/>
              <w:jc w:val="center"/>
              <w:rPr>
                <w:rFonts w:eastAsia="Calibri"/>
              </w:rPr>
            </w:pPr>
          </w:p>
        </w:tc>
        <w:tc>
          <w:tcPr>
            <w:tcW w:w="1020"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left="113" w:right="113" w:firstLine="0"/>
              <w:jc w:val="center"/>
              <w:rPr>
                <w:rFonts w:eastAsia="Calibri"/>
              </w:rPr>
            </w:pPr>
          </w:p>
        </w:tc>
        <w:tc>
          <w:tcPr>
            <w:tcW w:w="1470"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left="113" w:right="113" w:firstLine="0"/>
              <w:jc w:val="center"/>
              <w:rPr>
                <w:rFonts w:eastAsia="Calibri"/>
              </w:rPr>
            </w:pPr>
          </w:p>
        </w:tc>
        <w:tc>
          <w:tcPr>
            <w:tcW w:w="1426"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rPr>
            </w:pPr>
          </w:p>
        </w:tc>
        <w:tc>
          <w:tcPr>
            <w:tcW w:w="1364"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left="113" w:right="113" w:firstLine="0"/>
              <w:jc w:val="center"/>
              <w:rPr>
                <w:rFonts w:eastAsia="Calibri"/>
              </w:rPr>
            </w:pPr>
          </w:p>
        </w:tc>
        <w:tc>
          <w:tcPr>
            <w:tcW w:w="1125"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left="113" w:right="113" w:firstLine="0"/>
              <w:jc w:val="center"/>
              <w:rPr>
                <w:rFonts w:eastAsia="Calibri"/>
              </w:rPr>
            </w:pPr>
          </w:p>
        </w:tc>
        <w:tc>
          <w:tcPr>
            <w:tcW w:w="1455"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left="113" w:right="113" w:firstLine="0"/>
              <w:jc w:val="center"/>
              <w:rPr>
                <w:rFonts w:eastAsia="Calibri"/>
              </w:rPr>
            </w:pPr>
          </w:p>
        </w:tc>
      </w:tr>
    </w:tbl>
    <w:p w:rsidR="00F06D11" w:rsidRDefault="00F06D11">
      <w:pPr>
        <w:sectPr w:rsidR="00F06D11">
          <w:headerReference w:type="even" r:id="rId157"/>
          <w:headerReference w:type="default" r:id="rId158"/>
          <w:footerReference w:type="even" r:id="rId159"/>
          <w:footerReference w:type="default" r:id="rId160"/>
          <w:headerReference w:type="first" r:id="rId161"/>
          <w:footerReference w:type="first" r:id="rId162"/>
          <w:pgSz w:w="16838" w:h="11906" w:orient="landscape"/>
          <w:pgMar w:top="1134" w:right="850" w:bottom="720" w:left="1701" w:header="720" w:footer="0" w:gutter="0"/>
          <w:cols w:space="720"/>
          <w:formProt w:val="0"/>
          <w:docGrid w:linePitch="360"/>
        </w:sectPr>
      </w:pPr>
    </w:p>
    <w:p w:rsidR="00F06D11" w:rsidRDefault="0038137D">
      <w:pPr>
        <w:spacing w:before="0" w:after="0" w:line="240" w:lineRule="auto"/>
        <w:ind w:firstLine="0"/>
        <w:jc w:val="left"/>
      </w:pPr>
      <w:r>
        <w:rPr>
          <w:noProof/>
          <w:lang w:eastAsia="ru-RU"/>
        </w:rPr>
        <w:drawing>
          <wp:inline distT="0" distB="0" distL="0" distR="0">
            <wp:extent cx="9070975" cy="4531995"/>
            <wp:effectExtent l="0" t="0" r="0" b="0"/>
            <wp:docPr id="1" name="_x005F_x0000_i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5F_x0000_i1025"/>
                    <pic:cNvPicPr>
                      <a:picLocks noChangeAspect="1" noChangeArrowheads="1"/>
                    </pic:cNvPicPr>
                  </pic:nvPicPr>
                  <pic:blipFill>
                    <a:blip r:embed="rId163"/>
                    <a:srcRect l="-20" t="-40" r="-20" b="-40"/>
                    <a:stretch>
                      <a:fillRect/>
                    </a:stretch>
                  </pic:blipFill>
                  <pic:spPr bwMode="auto">
                    <a:xfrm>
                      <a:off x="0" y="0"/>
                      <a:ext cx="9070975" cy="4531995"/>
                    </a:xfrm>
                    <a:prstGeom prst="rect">
                      <a:avLst/>
                    </a:prstGeom>
                    <a:noFill/>
                  </pic:spPr>
                </pic:pic>
              </a:graphicData>
            </a:graphic>
          </wp:inline>
        </w:drawing>
      </w:r>
    </w:p>
    <w:p w:rsidR="00F06D11" w:rsidRDefault="00F06D11">
      <w:pPr>
        <w:spacing w:before="0" w:after="0" w:line="240" w:lineRule="auto"/>
        <w:ind w:firstLine="0"/>
        <w:jc w:val="left"/>
      </w:pPr>
    </w:p>
    <w:p w:rsidR="00F06D11" w:rsidRDefault="00F06D11">
      <w:pPr>
        <w:spacing w:before="0" w:after="0" w:line="240" w:lineRule="auto"/>
        <w:ind w:firstLine="0"/>
        <w:jc w:val="left"/>
      </w:pPr>
    </w:p>
    <w:p w:rsidR="00F06D11" w:rsidRDefault="00F06D11">
      <w:pPr>
        <w:spacing w:before="0" w:after="0" w:line="240" w:lineRule="auto"/>
        <w:ind w:firstLine="0"/>
        <w:jc w:val="left"/>
      </w:pPr>
    </w:p>
    <w:p w:rsidR="00F06D11" w:rsidRDefault="00F06D11">
      <w:pPr>
        <w:spacing w:before="0" w:after="0" w:line="240" w:lineRule="auto"/>
        <w:ind w:firstLine="0"/>
        <w:jc w:val="left"/>
      </w:pPr>
    </w:p>
    <w:p w:rsidR="00F06D11" w:rsidRDefault="00F06D11">
      <w:pPr>
        <w:spacing w:before="0" w:after="0" w:line="240" w:lineRule="auto"/>
        <w:ind w:firstLine="0"/>
        <w:jc w:val="left"/>
      </w:pPr>
    </w:p>
    <w:p w:rsidR="00F06D11" w:rsidRDefault="00F06D11">
      <w:pPr>
        <w:spacing w:before="0" w:after="0" w:line="240" w:lineRule="auto"/>
        <w:ind w:firstLine="0"/>
        <w:jc w:val="left"/>
      </w:pPr>
    </w:p>
    <w:p w:rsidR="00F06D11" w:rsidRDefault="00F06D11">
      <w:pPr>
        <w:spacing w:before="0" w:after="0" w:line="240" w:lineRule="auto"/>
        <w:ind w:firstLine="0"/>
        <w:jc w:val="left"/>
      </w:pPr>
    </w:p>
    <w:p w:rsidR="00F06D11" w:rsidRDefault="00F06D11">
      <w:pPr>
        <w:spacing w:before="0" w:after="0" w:line="240" w:lineRule="auto"/>
        <w:ind w:firstLine="0"/>
        <w:jc w:val="left"/>
      </w:pPr>
    </w:p>
    <w:p w:rsidR="00F06D11" w:rsidRDefault="00F06D11">
      <w:pPr>
        <w:spacing w:before="0" w:after="0" w:line="240" w:lineRule="auto"/>
        <w:ind w:firstLine="0"/>
        <w:jc w:val="left"/>
      </w:pPr>
    </w:p>
    <w:p w:rsidR="00F06D11" w:rsidRDefault="0038137D">
      <w:pPr>
        <w:spacing w:before="0" w:after="0" w:line="240" w:lineRule="auto"/>
        <w:ind w:firstLine="0"/>
        <w:jc w:val="left"/>
        <w:rPr>
          <w:sz w:val="32"/>
          <w:szCs w:val="32"/>
        </w:rPr>
      </w:pPr>
      <w:r>
        <w:rPr>
          <w:noProof/>
          <w:lang w:eastAsia="ru-RU"/>
        </w:rPr>
        <w:drawing>
          <wp:inline distT="0" distB="0" distL="0" distR="0">
            <wp:extent cx="9070975" cy="4641215"/>
            <wp:effectExtent l="0" t="0" r="0" b="0"/>
            <wp:docPr id="2" name="_x005F_x0000_i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x005F_x0000_i1026"/>
                    <pic:cNvPicPr>
                      <a:picLocks noChangeAspect="1" noChangeArrowheads="1"/>
                    </pic:cNvPicPr>
                  </pic:nvPicPr>
                  <pic:blipFill>
                    <a:blip r:embed="rId164"/>
                    <a:srcRect l="-20" t="-39" r="-20" b="-39"/>
                    <a:stretch>
                      <a:fillRect/>
                    </a:stretch>
                  </pic:blipFill>
                  <pic:spPr bwMode="auto">
                    <a:xfrm>
                      <a:off x="0" y="0"/>
                      <a:ext cx="9070975" cy="4641215"/>
                    </a:xfrm>
                    <a:prstGeom prst="rect">
                      <a:avLst/>
                    </a:prstGeom>
                    <a:noFill/>
                  </pic:spPr>
                </pic:pic>
              </a:graphicData>
            </a:graphic>
          </wp:inline>
        </w:drawing>
      </w:r>
    </w:p>
    <w:p w:rsidR="00F06D11" w:rsidRDefault="00F06D11">
      <w:pPr>
        <w:spacing w:before="0" w:after="0" w:line="240" w:lineRule="auto"/>
        <w:ind w:firstLine="0"/>
        <w:jc w:val="left"/>
        <w:rPr>
          <w:sz w:val="32"/>
          <w:szCs w:val="32"/>
        </w:rPr>
      </w:pPr>
    </w:p>
    <w:p w:rsidR="00F06D11" w:rsidRDefault="00F06D11">
      <w:pPr>
        <w:spacing w:before="0" w:after="0" w:line="240" w:lineRule="auto"/>
        <w:ind w:firstLine="0"/>
        <w:jc w:val="right"/>
        <w:rPr>
          <w:sz w:val="32"/>
          <w:szCs w:val="32"/>
        </w:rPr>
      </w:pPr>
    </w:p>
    <w:p w:rsidR="00F06D11" w:rsidRDefault="00F06D11">
      <w:pPr>
        <w:spacing w:before="0" w:after="0" w:line="240" w:lineRule="auto"/>
        <w:ind w:firstLine="0"/>
        <w:jc w:val="right"/>
        <w:rPr>
          <w:sz w:val="32"/>
          <w:szCs w:val="32"/>
        </w:rPr>
      </w:pPr>
    </w:p>
    <w:p w:rsidR="00F06D11" w:rsidRDefault="00F06D11">
      <w:pPr>
        <w:spacing w:before="0" w:after="0" w:line="240" w:lineRule="auto"/>
        <w:ind w:firstLine="0"/>
        <w:jc w:val="right"/>
        <w:rPr>
          <w:sz w:val="32"/>
          <w:szCs w:val="32"/>
        </w:rPr>
      </w:pPr>
    </w:p>
    <w:p w:rsidR="00F06D11" w:rsidRDefault="00F06D11">
      <w:pPr>
        <w:spacing w:before="0" w:after="0" w:line="240" w:lineRule="auto"/>
        <w:ind w:firstLine="0"/>
        <w:jc w:val="right"/>
        <w:rPr>
          <w:sz w:val="32"/>
          <w:szCs w:val="32"/>
        </w:rPr>
      </w:pPr>
    </w:p>
    <w:p w:rsidR="00F06D11" w:rsidRDefault="00F06D11">
      <w:pPr>
        <w:spacing w:before="0" w:after="0" w:line="240" w:lineRule="auto"/>
        <w:ind w:firstLine="0"/>
        <w:jc w:val="right"/>
        <w:rPr>
          <w:sz w:val="16"/>
          <w:szCs w:val="16"/>
        </w:rPr>
      </w:pPr>
    </w:p>
    <w:p w:rsidR="00F06D11" w:rsidRDefault="0038137D">
      <w:pPr>
        <w:spacing w:before="0" w:after="0" w:line="240" w:lineRule="auto"/>
        <w:ind w:firstLine="0"/>
        <w:jc w:val="left"/>
        <w:rPr>
          <w:rFonts w:eastAsia="Calibri"/>
          <w:sz w:val="24"/>
          <w:szCs w:val="24"/>
        </w:rPr>
      </w:pPr>
      <w:r>
        <w:rPr>
          <w:sz w:val="32"/>
          <w:szCs w:val="32"/>
        </w:rPr>
        <w:t xml:space="preserve">                                                                                                                                            </w:t>
      </w:r>
      <w:r>
        <w:rPr>
          <w:sz w:val="24"/>
          <w:szCs w:val="24"/>
        </w:rPr>
        <w:t xml:space="preserve"> Приложение № 2</w:t>
      </w:r>
    </w:p>
    <w:p w:rsidR="00F06D11" w:rsidRDefault="0038137D">
      <w:pPr>
        <w:spacing w:before="0" w:after="0" w:line="240" w:lineRule="auto"/>
        <w:ind w:left="11340" w:firstLine="0"/>
        <w:jc w:val="left"/>
        <w:rPr>
          <w:rFonts w:eastAsia="Calibri"/>
          <w:sz w:val="24"/>
          <w:szCs w:val="24"/>
        </w:rPr>
      </w:pPr>
      <w:r>
        <w:rPr>
          <w:rFonts w:eastAsia="Calibri"/>
          <w:sz w:val="24"/>
          <w:szCs w:val="24"/>
        </w:rPr>
        <w:t>к Учетной политике Исполнительного комитета муниципального образования город Набережные Челны</w:t>
      </w:r>
    </w:p>
    <w:p w:rsidR="00620920" w:rsidRDefault="00620920">
      <w:pPr>
        <w:spacing w:before="0" w:after="0" w:line="240" w:lineRule="auto"/>
        <w:ind w:left="11340" w:firstLine="0"/>
        <w:jc w:val="left"/>
        <w:rPr>
          <w:rFonts w:eastAsia="Calibri"/>
        </w:rPr>
      </w:pPr>
      <w:r w:rsidRPr="00620920">
        <w:rPr>
          <w:rFonts w:eastAsia="Calibri"/>
        </w:rPr>
        <w:t>от «30»_12_2025 №3142-р</w:t>
      </w:r>
    </w:p>
    <w:p w:rsidR="00620920" w:rsidRDefault="00620920">
      <w:pPr>
        <w:spacing w:before="0" w:after="0" w:line="240" w:lineRule="auto"/>
        <w:ind w:left="11340" w:firstLine="0"/>
        <w:jc w:val="left"/>
        <w:rPr>
          <w:rFonts w:eastAsia="Calibri"/>
          <w:sz w:val="24"/>
          <w:szCs w:val="24"/>
        </w:rPr>
      </w:pPr>
    </w:p>
    <w:p w:rsidR="00F06D11" w:rsidRDefault="0038137D">
      <w:pPr>
        <w:spacing w:before="0" w:after="0" w:line="240" w:lineRule="auto"/>
        <w:ind w:firstLine="0"/>
        <w:jc w:val="center"/>
        <w:rPr>
          <w:sz w:val="20"/>
          <w:szCs w:val="20"/>
        </w:rPr>
      </w:pPr>
      <w:r>
        <w:rPr>
          <w:sz w:val="24"/>
          <w:szCs w:val="24"/>
        </w:rPr>
        <w:t>Отчет о движении муниципальных жилых квартир за _________ квартал ______года</w:t>
      </w:r>
    </w:p>
    <w:p w:rsidR="00F06D11" w:rsidRDefault="00F06D11">
      <w:pPr>
        <w:spacing w:before="0" w:after="0" w:line="240" w:lineRule="auto"/>
        <w:ind w:firstLine="0"/>
        <w:jc w:val="center"/>
        <w:rPr>
          <w:sz w:val="20"/>
          <w:szCs w:val="20"/>
        </w:rPr>
      </w:pPr>
    </w:p>
    <w:tbl>
      <w:tblPr>
        <w:tblW w:w="14504" w:type="dxa"/>
        <w:tblInd w:w="-109" w:type="dxa"/>
        <w:tblLayout w:type="fixed"/>
        <w:tblLook w:val="04A0" w:firstRow="1" w:lastRow="0" w:firstColumn="1" w:lastColumn="0" w:noHBand="0" w:noVBand="1"/>
      </w:tblPr>
      <w:tblGrid>
        <w:gridCol w:w="1724"/>
        <w:gridCol w:w="908"/>
        <w:gridCol w:w="997"/>
        <w:gridCol w:w="1088"/>
        <w:gridCol w:w="1111"/>
        <w:gridCol w:w="998"/>
        <w:gridCol w:w="1304"/>
        <w:gridCol w:w="1036"/>
        <w:gridCol w:w="997"/>
        <w:gridCol w:w="1306"/>
        <w:gridCol w:w="999"/>
        <w:gridCol w:w="972"/>
        <w:gridCol w:w="1064"/>
      </w:tblGrid>
      <w:tr w:rsidR="00F06D11">
        <w:trPr>
          <w:trHeight w:val="1011"/>
        </w:trPr>
        <w:tc>
          <w:tcPr>
            <w:tcW w:w="1723" w:type="dxa"/>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firstLine="0"/>
              <w:jc w:val="center"/>
            </w:pPr>
            <w:r>
              <w:rPr>
                <w:rFonts w:eastAsia="Calibri" w:cs="Calibri"/>
                <w:sz w:val="18"/>
                <w:szCs w:val="18"/>
              </w:rPr>
              <w:t>Районные Исполкомы</w:t>
            </w:r>
          </w:p>
        </w:tc>
        <w:tc>
          <w:tcPr>
            <w:tcW w:w="908" w:type="dxa"/>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firstLine="0"/>
              <w:jc w:val="center"/>
            </w:pPr>
            <w:r>
              <w:rPr>
                <w:rFonts w:eastAsia="Calibri" w:cs="Calibri"/>
                <w:sz w:val="18"/>
                <w:szCs w:val="18"/>
              </w:rPr>
              <w:t>Всего на начало периода</w:t>
            </w:r>
          </w:p>
        </w:tc>
        <w:tc>
          <w:tcPr>
            <w:tcW w:w="997" w:type="dxa"/>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firstLine="0"/>
              <w:jc w:val="center"/>
            </w:pPr>
            <w:r>
              <w:rPr>
                <w:rFonts w:eastAsia="Calibri" w:cs="Calibri"/>
                <w:sz w:val="18"/>
                <w:szCs w:val="18"/>
              </w:rPr>
              <w:t>Стоимость (п/в)</w:t>
            </w:r>
          </w:p>
        </w:tc>
        <w:tc>
          <w:tcPr>
            <w:tcW w:w="1088" w:type="dxa"/>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firstLine="0"/>
              <w:jc w:val="center"/>
              <w:rPr>
                <w:rFonts w:eastAsia="Calibri" w:cs="Calibri"/>
                <w:sz w:val="18"/>
                <w:szCs w:val="18"/>
              </w:rPr>
            </w:pPr>
            <w:r>
              <w:rPr>
                <w:rFonts w:eastAsia="Calibri" w:cs="Calibri"/>
                <w:sz w:val="18"/>
                <w:szCs w:val="18"/>
              </w:rPr>
              <w:t>Стоимость (остаточ</w:t>
            </w:r>
          </w:p>
          <w:p w:rsidR="00F06D11" w:rsidRDefault="0038137D">
            <w:pPr>
              <w:spacing w:before="0" w:after="0" w:line="240" w:lineRule="auto"/>
              <w:ind w:firstLine="0"/>
              <w:jc w:val="center"/>
            </w:pPr>
            <w:r>
              <w:rPr>
                <w:rFonts w:eastAsia="Calibri" w:cs="Calibri"/>
                <w:sz w:val="18"/>
                <w:szCs w:val="18"/>
              </w:rPr>
              <w:t>ная)</w:t>
            </w:r>
          </w:p>
        </w:tc>
        <w:tc>
          <w:tcPr>
            <w:tcW w:w="1111" w:type="dxa"/>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firstLine="0"/>
              <w:jc w:val="center"/>
              <w:rPr>
                <w:rFonts w:eastAsia="Calibri" w:cs="Calibri"/>
                <w:sz w:val="18"/>
                <w:szCs w:val="18"/>
              </w:rPr>
            </w:pPr>
            <w:r>
              <w:rPr>
                <w:rFonts w:eastAsia="Calibri" w:cs="Calibri"/>
                <w:sz w:val="18"/>
                <w:szCs w:val="18"/>
              </w:rPr>
              <w:t>Поступле</w:t>
            </w:r>
          </w:p>
          <w:p w:rsidR="00F06D11" w:rsidRDefault="0038137D">
            <w:pPr>
              <w:spacing w:before="0" w:after="0" w:line="240" w:lineRule="auto"/>
              <w:ind w:firstLine="0"/>
              <w:jc w:val="center"/>
              <w:rPr>
                <w:rFonts w:eastAsia="Calibri" w:cs="Calibri"/>
                <w:sz w:val="18"/>
                <w:szCs w:val="18"/>
              </w:rPr>
            </w:pPr>
            <w:r>
              <w:rPr>
                <w:rFonts w:eastAsia="Calibri" w:cs="Calibri"/>
                <w:sz w:val="18"/>
                <w:szCs w:val="18"/>
              </w:rPr>
              <w:t>ние</w:t>
            </w:r>
          </w:p>
          <w:p w:rsidR="00F06D11" w:rsidRDefault="0038137D">
            <w:pPr>
              <w:spacing w:before="0" w:after="0" w:line="240" w:lineRule="auto"/>
              <w:ind w:firstLine="0"/>
              <w:jc w:val="center"/>
            </w:pPr>
            <w:r>
              <w:rPr>
                <w:rFonts w:eastAsia="Calibri" w:cs="Calibri"/>
                <w:sz w:val="18"/>
                <w:szCs w:val="18"/>
              </w:rPr>
              <w:t>за __ квартал (+)</w:t>
            </w:r>
          </w:p>
        </w:tc>
        <w:tc>
          <w:tcPr>
            <w:tcW w:w="998" w:type="dxa"/>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firstLine="0"/>
              <w:jc w:val="center"/>
              <w:rPr>
                <w:rFonts w:eastAsia="Calibri" w:cs="Calibri"/>
                <w:sz w:val="18"/>
                <w:szCs w:val="18"/>
              </w:rPr>
            </w:pPr>
            <w:r>
              <w:rPr>
                <w:rFonts w:eastAsia="Calibri" w:cs="Calibri"/>
                <w:sz w:val="18"/>
                <w:szCs w:val="18"/>
              </w:rPr>
              <w:t>Стои</w:t>
            </w:r>
          </w:p>
          <w:p w:rsidR="00F06D11" w:rsidRDefault="0038137D">
            <w:pPr>
              <w:spacing w:before="0" w:after="0" w:line="240" w:lineRule="auto"/>
              <w:ind w:firstLine="0"/>
              <w:jc w:val="center"/>
              <w:rPr>
                <w:rFonts w:eastAsia="Calibri" w:cs="Calibri"/>
                <w:sz w:val="18"/>
                <w:szCs w:val="18"/>
              </w:rPr>
            </w:pPr>
            <w:r>
              <w:rPr>
                <w:rFonts w:eastAsia="Calibri" w:cs="Calibri"/>
                <w:sz w:val="18"/>
                <w:szCs w:val="18"/>
              </w:rPr>
              <w:t>мость руб.(п/в)</w:t>
            </w:r>
          </w:p>
          <w:p w:rsidR="00F06D11" w:rsidRDefault="0038137D">
            <w:pPr>
              <w:spacing w:before="0" w:after="0" w:line="240" w:lineRule="auto"/>
              <w:ind w:firstLine="0"/>
              <w:jc w:val="center"/>
            </w:pPr>
            <w:r>
              <w:rPr>
                <w:rFonts w:eastAsia="Calibri" w:cs="Calibri"/>
                <w:sz w:val="18"/>
                <w:szCs w:val="18"/>
              </w:rPr>
              <w:t>(+)</w:t>
            </w:r>
          </w:p>
        </w:tc>
        <w:tc>
          <w:tcPr>
            <w:tcW w:w="1304" w:type="dxa"/>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firstLine="0"/>
              <w:jc w:val="center"/>
            </w:pPr>
            <w:r>
              <w:rPr>
                <w:rFonts w:eastAsia="Calibri" w:cs="Calibri"/>
                <w:sz w:val="18"/>
                <w:szCs w:val="18"/>
              </w:rPr>
              <w:t>Стоимость, руб (остаточная) (+)</w:t>
            </w:r>
          </w:p>
        </w:tc>
        <w:tc>
          <w:tcPr>
            <w:tcW w:w="1036" w:type="dxa"/>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firstLine="0"/>
              <w:jc w:val="right"/>
              <w:rPr>
                <w:rFonts w:eastAsia="Calibri" w:cs="Calibri"/>
                <w:sz w:val="18"/>
                <w:szCs w:val="18"/>
              </w:rPr>
            </w:pPr>
            <w:r>
              <w:rPr>
                <w:rFonts w:eastAsia="Calibri" w:cs="Calibri"/>
                <w:sz w:val="18"/>
                <w:szCs w:val="18"/>
              </w:rPr>
              <w:t>Выбытие за ___ квартал</w:t>
            </w:r>
          </w:p>
          <w:p w:rsidR="00F06D11" w:rsidRDefault="0038137D">
            <w:pPr>
              <w:spacing w:before="0" w:after="0" w:line="240" w:lineRule="auto"/>
              <w:ind w:firstLine="0"/>
              <w:jc w:val="center"/>
            </w:pPr>
            <w:r>
              <w:rPr>
                <w:rFonts w:eastAsia="Calibri" w:cs="Calibri"/>
                <w:sz w:val="18"/>
                <w:szCs w:val="18"/>
              </w:rPr>
              <w:t>(-)</w:t>
            </w:r>
          </w:p>
        </w:tc>
        <w:tc>
          <w:tcPr>
            <w:tcW w:w="997" w:type="dxa"/>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firstLine="0"/>
              <w:jc w:val="center"/>
              <w:rPr>
                <w:rFonts w:eastAsia="Calibri" w:cs="Calibri"/>
                <w:sz w:val="18"/>
                <w:szCs w:val="18"/>
              </w:rPr>
            </w:pPr>
            <w:r>
              <w:rPr>
                <w:rFonts w:eastAsia="Calibri" w:cs="Calibri"/>
                <w:sz w:val="18"/>
                <w:szCs w:val="18"/>
              </w:rPr>
              <w:t>Стои</w:t>
            </w:r>
          </w:p>
          <w:p w:rsidR="00F06D11" w:rsidRDefault="0038137D">
            <w:pPr>
              <w:spacing w:before="0" w:after="0" w:line="240" w:lineRule="auto"/>
              <w:ind w:firstLine="0"/>
              <w:jc w:val="center"/>
              <w:rPr>
                <w:rFonts w:eastAsia="Calibri" w:cs="Calibri"/>
                <w:sz w:val="18"/>
                <w:szCs w:val="18"/>
              </w:rPr>
            </w:pPr>
            <w:r>
              <w:rPr>
                <w:rFonts w:eastAsia="Calibri" w:cs="Calibri"/>
                <w:sz w:val="18"/>
                <w:szCs w:val="18"/>
              </w:rPr>
              <w:t>мость руб. (п/в)</w:t>
            </w:r>
          </w:p>
          <w:p w:rsidR="00F06D11" w:rsidRDefault="0038137D">
            <w:pPr>
              <w:spacing w:before="0" w:after="0" w:line="240" w:lineRule="auto"/>
              <w:ind w:firstLine="0"/>
              <w:jc w:val="center"/>
            </w:pPr>
            <w:r>
              <w:rPr>
                <w:rFonts w:eastAsia="Calibri" w:cs="Calibri"/>
                <w:sz w:val="18"/>
                <w:szCs w:val="18"/>
              </w:rPr>
              <w:t>(-)</w:t>
            </w:r>
          </w:p>
        </w:tc>
        <w:tc>
          <w:tcPr>
            <w:tcW w:w="1306" w:type="dxa"/>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firstLine="0"/>
              <w:jc w:val="center"/>
            </w:pPr>
            <w:r>
              <w:rPr>
                <w:rFonts w:eastAsia="Calibri" w:cs="Calibri"/>
                <w:sz w:val="18"/>
                <w:szCs w:val="18"/>
              </w:rPr>
              <w:t>Стоимость, руб (остаточная) (-)</w:t>
            </w:r>
          </w:p>
        </w:tc>
        <w:tc>
          <w:tcPr>
            <w:tcW w:w="999" w:type="dxa"/>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firstLine="0"/>
              <w:jc w:val="center"/>
              <w:rPr>
                <w:rFonts w:eastAsia="Calibri" w:cs="Calibri"/>
                <w:sz w:val="18"/>
                <w:szCs w:val="18"/>
              </w:rPr>
            </w:pPr>
            <w:r>
              <w:rPr>
                <w:rFonts w:eastAsia="Calibri" w:cs="Calibri"/>
                <w:sz w:val="18"/>
                <w:szCs w:val="18"/>
              </w:rPr>
              <w:t>Всего на конец</w:t>
            </w:r>
          </w:p>
          <w:p w:rsidR="00F06D11" w:rsidRDefault="0038137D">
            <w:pPr>
              <w:spacing w:before="0" w:after="0" w:line="240" w:lineRule="auto"/>
              <w:ind w:firstLine="0"/>
              <w:jc w:val="center"/>
            </w:pPr>
            <w:r>
              <w:rPr>
                <w:rFonts w:eastAsia="Calibri" w:cs="Calibri"/>
                <w:sz w:val="18"/>
                <w:szCs w:val="18"/>
              </w:rPr>
              <w:t>_________</w:t>
            </w:r>
          </w:p>
        </w:tc>
        <w:tc>
          <w:tcPr>
            <w:tcW w:w="972" w:type="dxa"/>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firstLine="0"/>
              <w:jc w:val="center"/>
              <w:rPr>
                <w:rFonts w:eastAsia="Calibri" w:cs="Calibri"/>
                <w:sz w:val="18"/>
                <w:szCs w:val="18"/>
              </w:rPr>
            </w:pPr>
            <w:r>
              <w:rPr>
                <w:rFonts w:eastAsia="Calibri" w:cs="Calibri"/>
                <w:sz w:val="18"/>
                <w:szCs w:val="18"/>
              </w:rPr>
              <w:t>Стои</w:t>
            </w:r>
          </w:p>
          <w:p w:rsidR="00F06D11" w:rsidRDefault="0038137D">
            <w:pPr>
              <w:spacing w:before="0" w:after="0" w:line="240" w:lineRule="auto"/>
              <w:ind w:firstLine="0"/>
              <w:jc w:val="center"/>
            </w:pPr>
            <w:r>
              <w:rPr>
                <w:rFonts w:eastAsia="Calibri" w:cs="Calibri"/>
                <w:sz w:val="18"/>
                <w:szCs w:val="18"/>
              </w:rPr>
              <w:t>мость (п/в)</w:t>
            </w:r>
          </w:p>
        </w:tc>
        <w:tc>
          <w:tcPr>
            <w:tcW w:w="1064" w:type="dxa"/>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firstLine="0"/>
              <w:jc w:val="center"/>
              <w:rPr>
                <w:rFonts w:eastAsia="Calibri" w:cs="Calibri"/>
                <w:sz w:val="18"/>
                <w:szCs w:val="18"/>
              </w:rPr>
            </w:pPr>
            <w:r>
              <w:rPr>
                <w:rFonts w:eastAsia="Calibri" w:cs="Calibri"/>
                <w:sz w:val="18"/>
                <w:szCs w:val="18"/>
              </w:rPr>
              <w:t>Стои</w:t>
            </w:r>
          </w:p>
          <w:p w:rsidR="00F06D11" w:rsidRDefault="0038137D">
            <w:pPr>
              <w:spacing w:before="0" w:after="0" w:line="240" w:lineRule="auto"/>
              <w:ind w:firstLine="0"/>
              <w:jc w:val="center"/>
              <w:rPr>
                <w:rFonts w:eastAsia="Calibri" w:cs="Calibri"/>
                <w:sz w:val="18"/>
                <w:szCs w:val="18"/>
              </w:rPr>
            </w:pPr>
            <w:r>
              <w:rPr>
                <w:rFonts w:eastAsia="Calibri" w:cs="Calibri"/>
                <w:sz w:val="18"/>
                <w:szCs w:val="18"/>
              </w:rPr>
              <w:t>мость (остаточ</w:t>
            </w:r>
          </w:p>
          <w:p w:rsidR="00F06D11" w:rsidRDefault="0038137D">
            <w:pPr>
              <w:spacing w:before="0" w:after="0" w:line="240" w:lineRule="auto"/>
              <w:ind w:firstLine="0"/>
              <w:jc w:val="center"/>
            </w:pPr>
            <w:r>
              <w:rPr>
                <w:rFonts w:eastAsia="Calibri" w:cs="Calibri"/>
                <w:sz w:val="18"/>
                <w:szCs w:val="18"/>
              </w:rPr>
              <w:t>ная)</w:t>
            </w:r>
          </w:p>
        </w:tc>
      </w:tr>
      <w:tr w:rsidR="00F06D11">
        <w:tc>
          <w:tcPr>
            <w:tcW w:w="1723" w:type="dxa"/>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firstLine="0"/>
              <w:jc w:val="center"/>
            </w:pPr>
            <w:r>
              <w:rPr>
                <w:rFonts w:eastAsia="Calibri" w:cs="Calibri"/>
              </w:rPr>
              <w:t>Комсомольский</w:t>
            </w:r>
          </w:p>
        </w:tc>
        <w:tc>
          <w:tcPr>
            <w:tcW w:w="908"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997"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088"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111"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998"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304"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036"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997"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306"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999"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972"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064"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r>
      <w:tr w:rsidR="00F06D11">
        <w:tc>
          <w:tcPr>
            <w:tcW w:w="1723" w:type="dxa"/>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firstLine="0"/>
              <w:jc w:val="center"/>
            </w:pPr>
            <w:r>
              <w:rPr>
                <w:rFonts w:eastAsia="Calibri" w:cs="Calibri"/>
              </w:rPr>
              <w:t>Центральный</w:t>
            </w:r>
          </w:p>
        </w:tc>
        <w:tc>
          <w:tcPr>
            <w:tcW w:w="908"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997"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088"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111"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998"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304"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036"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997"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306"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999"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972"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064"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r>
      <w:tr w:rsidR="00F06D11">
        <w:tc>
          <w:tcPr>
            <w:tcW w:w="1723" w:type="dxa"/>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firstLine="0"/>
              <w:jc w:val="center"/>
            </w:pPr>
            <w:r>
              <w:rPr>
                <w:rFonts w:eastAsia="Calibri" w:cs="Calibri"/>
              </w:rPr>
              <w:t>Автозаводский</w:t>
            </w:r>
          </w:p>
        </w:tc>
        <w:tc>
          <w:tcPr>
            <w:tcW w:w="908"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997"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088"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111"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998"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304"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036"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997"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306"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999"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972"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064"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r>
      <w:tr w:rsidR="00F06D11">
        <w:tc>
          <w:tcPr>
            <w:tcW w:w="1723" w:type="dxa"/>
            <w:tcBorders>
              <w:top w:val="single" w:sz="4" w:space="0" w:color="000000"/>
              <w:left w:val="single" w:sz="4" w:space="0" w:color="000000"/>
              <w:bottom w:val="single" w:sz="4" w:space="0" w:color="000000"/>
              <w:right w:val="single" w:sz="4" w:space="0" w:color="000000"/>
            </w:tcBorders>
          </w:tcPr>
          <w:p w:rsidR="00F06D11" w:rsidRDefault="0038137D">
            <w:pPr>
              <w:spacing w:before="0" w:after="0" w:line="240" w:lineRule="auto"/>
              <w:ind w:firstLine="0"/>
              <w:jc w:val="center"/>
            </w:pPr>
            <w:r>
              <w:rPr>
                <w:rFonts w:eastAsia="Calibri" w:cs="Calibri"/>
              </w:rPr>
              <w:t>Итого</w:t>
            </w:r>
          </w:p>
        </w:tc>
        <w:tc>
          <w:tcPr>
            <w:tcW w:w="908"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997"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088"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111"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998"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304"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036"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997"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306"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999"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972"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064"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r>
      <w:tr w:rsidR="00F06D11">
        <w:tc>
          <w:tcPr>
            <w:tcW w:w="1723"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sz w:val="20"/>
                <w:szCs w:val="20"/>
              </w:rPr>
            </w:pPr>
          </w:p>
          <w:p w:rsidR="00F06D11" w:rsidRDefault="00F06D11">
            <w:pPr>
              <w:spacing w:before="0" w:after="0" w:line="240" w:lineRule="auto"/>
              <w:ind w:firstLine="0"/>
              <w:jc w:val="center"/>
              <w:rPr>
                <w:rFonts w:eastAsia="Calibri" w:cs="Calibri"/>
                <w:sz w:val="20"/>
                <w:szCs w:val="20"/>
              </w:rPr>
            </w:pPr>
          </w:p>
          <w:p w:rsidR="00F06D11" w:rsidRDefault="00F06D11">
            <w:pPr>
              <w:spacing w:before="0" w:after="0" w:line="240" w:lineRule="auto"/>
              <w:ind w:firstLine="0"/>
              <w:jc w:val="center"/>
              <w:rPr>
                <w:rFonts w:eastAsia="Calibri" w:cs="Calibri"/>
                <w:sz w:val="20"/>
                <w:szCs w:val="20"/>
              </w:rPr>
            </w:pPr>
          </w:p>
          <w:p w:rsidR="00F06D11" w:rsidRDefault="00F06D11">
            <w:pPr>
              <w:spacing w:before="0" w:after="0" w:line="240" w:lineRule="auto"/>
              <w:ind w:firstLine="0"/>
              <w:jc w:val="center"/>
              <w:rPr>
                <w:rFonts w:eastAsia="Calibri" w:cs="Calibri"/>
                <w:sz w:val="20"/>
                <w:szCs w:val="20"/>
              </w:rPr>
            </w:pPr>
          </w:p>
          <w:p w:rsidR="00F06D11" w:rsidRDefault="00F06D11">
            <w:pPr>
              <w:spacing w:before="0" w:after="0" w:line="240" w:lineRule="auto"/>
              <w:ind w:firstLine="0"/>
              <w:jc w:val="center"/>
              <w:rPr>
                <w:rFonts w:eastAsia="Calibri" w:cs="Calibri"/>
              </w:rPr>
            </w:pPr>
          </w:p>
        </w:tc>
        <w:tc>
          <w:tcPr>
            <w:tcW w:w="908"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997"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088"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111"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998"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304"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036"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997"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306"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999"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972"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c>
          <w:tcPr>
            <w:tcW w:w="1064" w:type="dxa"/>
            <w:tcBorders>
              <w:top w:val="single" w:sz="4" w:space="0" w:color="000000"/>
              <w:left w:val="single" w:sz="4" w:space="0" w:color="000000"/>
              <w:bottom w:val="single" w:sz="4" w:space="0" w:color="000000"/>
              <w:right w:val="single" w:sz="4" w:space="0" w:color="000000"/>
            </w:tcBorders>
          </w:tcPr>
          <w:p w:rsidR="00F06D11" w:rsidRDefault="00F06D11">
            <w:pPr>
              <w:spacing w:before="0" w:after="0" w:line="240" w:lineRule="auto"/>
              <w:ind w:firstLine="0"/>
              <w:jc w:val="center"/>
              <w:rPr>
                <w:rFonts w:eastAsia="Calibri" w:cs="Calibri"/>
              </w:rPr>
            </w:pPr>
          </w:p>
        </w:tc>
      </w:tr>
    </w:tbl>
    <w:p w:rsidR="00F06D11" w:rsidRDefault="00F06D11">
      <w:pPr>
        <w:keepNext/>
        <w:keepLines/>
        <w:ind w:firstLine="0"/>
        <w:jc w:val="right"/>
      </w:pPr>
    </w:p>
    <w:p w:rsidR="00F06D11" w:rsidRDefault="00F06D11">
      <w:pPr>
        <w:keepNext/>
        <w:keepLines/>
        <w:ind w:firstLine="0"/>
        <w:jc w:val="right"/>
      </w:pPr>
    </w:p>
    <w:p w:rsidR="00F06D11" w:rsidRDefault="00F06D11">
      <w:pPr>
        <w:keepNext/>
        <w:keepLines/>
        <w:ind w:firstLine="0"/>
        <w:jc w:val="right"/>
      </w:pPr>
    </w:p>
    <w:p w:rsidR="00F06D11" w:rsidRDefault="00F06D11">
      <w:pPr>
        <w:spacing w:before="0" w:after="0" w:line="240" w:lineRule="auto"/>
        <w:ind w:firstLine="0"/>
        <w:jc w:val="right"/>
        <w:rPr>
          <w:sz w:val="32"/>
          <w:szCs w:val="32"/>
        </w:rPr>
      </w:pPr>
    </w:p>
    <w:p w:rsidR="00F06D11" w:rsidRDefault="00F06D11">
      <w:pPr>
        <w:spacing w:before="0" w:after="0" w:line="240" w:lineRule="auto"/>
        <w:ind w:firstLine="0"/>
        <w:jc w:val="right"/>
        <w:rPr>
          <w:sz w:val="32"/>
          <w:szCs w:val="32"/>
        </w:rPr>
      </w:pPr>
    </w:p>
    <w:p w:rsidR="00F06D11" w:rsidRDefault="00F06D11">
      <w:pPr>
        <w:spacing w:before="0" w:after="0" w:line="240" w:lineRule="auto"/>
        <w:ind w:left="11340" w:firstLine="0"/>
        <w:jc w:val="right"/>
        <w:rPr>
          <w:sz w:val="32"/>
          <w:szCs w:val="32"/>
        </w:rPr>
      </w:pPr>
    </w:p>
    <w:p w:rsidR="00F06D11" w:rsidRDefault="00F06D11">
      <w:pPr>
        <w:spacing w:before="0" w:after="0" w:line="240" w:lineRule="auto"/>
        <w:ind w:left="11339" w:firstLine="0"/>
        <w:jc w:val="left"/>
        <w:rPr>
          <w:sz w:val="32"/>
          <w:szCs w:val="32"/>
        </w:rPr>
      </w:pPr>
    </w:p>
    <w:p w:rsidR="00620920" w:rsidRDefault="00620920">
      <w:pPr>
        <w:spacing w:before="0" w:after="0" w:line="240" w:lineRule="auto"/>
        <w:ind w:left="11339" w:firstLine="0"/>
        <w:jc w:val="left"/>
        <w:rPr>
          <w:rFonts w:eastAsia="Calibri"/>
        </w:rPr>
      </w:pPr>
    </w:p>
    <w:p w:rsidR="00620920" w:rsidRDefault="00620920">
      <w:pPr>
        <w:spacing w:before="0" w:after="0" w:line="240" w:lineRule="auto"/>
        <w:ind w:left="8957" w:firstLine="0"/>
        <w:jc w:val="left"/>
        <w:rPr>
          <w:sz w:val="16"/>
          <w:szCs w:val="16"/>
        </w:rPr>
      </w:pPr>
    </w:p>
    <w:p w:rsidR="00620920" w:rsidRDefault="00620920">
      <w:pPr>
        <w:spacing w:before="0" w:after="0" w:line="240" w:lineRule="auto"/>
        <w:ind w:left="8957" w:firstLine="0"/>
        <w:jc w:val="left"/>
        <w:rPr>
          <w:sz w:val="16"/>
          <w:szCs w:val="16"/>
        </w:rPr>
      </w:pPr>
    </w:p>
    <w:p w:rsidR="00620920" w:rsidRDefault="00620920">
      <w:pPr>
        <w:spacing w:before="0" w:after="0" w:line="240" w:lineRule="auto"/>
        <w:ind w:left="8957" w:firstLine="0"/>
        <w:jc w:val="left"/>
        <w:rPr>
          <w:sz w:val="16"/>
          <w:szCs w:val="16"/>
        </w:rPr>
      </w:pPr>
    </w:p>
    <w:p w:rsidR="00F06D11" w:rsidRPr="00620920" w:rsidRDefault="0038137D">
      <w:pPr>
        <w:spacing w:before="0" w:after="0" w:line="240" w:lineRule="auto"/>
        <w:ind w:left="8957" w:firstLine="0"/>
        <w:jc w:val="left"/>
        <w:rPr>
          <w:rFonts w:eastAsia="Calibri"/>
          <w:sz w:val="16"/>
          <w:szCs w:val="16"/>
        </w:rPr>
      </w:pPr>
      <w:r w:rsidRPr="00620920">
        <w:rPr>
          <w:sz w:val="16"/>
          <w:szCs w:val="16"/>
        </w:rPr>
        <w:t>Приложение №3</w:t>
      </w:r>
    </w:p>
    <w:p w:rsidR="00620920" w:rsidRPr="00620920" w:rsidRDefault="0038137D" w:rsidP="00620920">
      <w:pPr>
        <w:spacing w:before="0" w:after="0" w:line="240" w:lineRule="auto"/>
        <w:ind w:left="8957" w:firstLine="0"/>
        <w:jc w:val="left"/>
        <w:rPr>
          <w:rFonts w:eastAsia="Calibri"/>
          <w:sz w:val="16"/>
          <w:szCs w:val="16"/>
        </w:rPr>
      </w:pPr>
      <w:r w:rsidRPr="00620920">
        <w:rPr>
          <w:rFonts w:eastAsia="Calibri"/>
          <w:sz w:val="16"/>
          <w:szCs w:val="16"/>
        </w:rPr>
        <w:t>к Учетной политике Исполнительного комитета                                                                                                                                                                   муниципального образования город Набережные Челны</w:t>
      </w:r>
    </w:p>
    <w:p w:rsidR="00620920" w:rsidRDefault="00620920" w:rsidP="00620920">
      <w:pPr>
        <w:spacing w:before="0" w:after="0" w:line="240" w:lineRule="auto"/>
        <w:ind w:firstLine="8931"/>
        <w:jc w:val="left"/>
        <w:rPr>
          <w:rFonts w:eastAsia="Calibri"/>
        </w:rPr>
      </w:pPr>
      <w:r w:rsidRPr="00620920">
        <w:rPr>
          <w:rFonts w:eastAsia="Calibri"/>
          <w:sz w:val="16"/>
          <w:szCs w:val="16"/>
        </w:rPr>
        <w:t>от «30»_12_2025 №3142-р</w:t>
      </w:r>
      <w:r w:rsidR="0038137D">
        <w:rPr>
          <w:rFonts w:eastAsia="Calibri"/>
        </w:rPr>
        <w:t xml:space="preserve"> </w:t>
      </w:r>
    </w:p>
    <w:p w:rsidR="00F06D11" w:rsidRDefault="0038137D">
      <w:pPr>
        <w:spacing w:before="0" w:after="0" w:line="240" w:lineRule="auto"/>
        <w:ind w:firstLine="0"/>
        <w:jc w:val="left"/>
        <w:rPr>
          <w:rFonts w:eastAsia="Calibri"/>
        </w:rPr>
        <w:sectPr w:rsidR="00F06D11">
          <w:headerReference w:type="even" r:id="rId165"/>
          <w:headerReference w:type="default" r:id="rId166"/>
          <w:footerReference w:type="even" r:id="rId167"/>
          <w:footerReference w:type="default" r:id="rId168"/>
          <w:headerReference w:type="first" r:id="rId169"/>
          <w:footerReference w:type="first" r:id="rId170"/>
          <w:pgSz w:w="16838" w:h="11906" w:orient="landscape"/>
          <w:pgMar w:top="766" w:right="850" w:bottom="766" w:left="1701" w:header="709" w:footer="709" w:gutter="0"/>
          <w:pgNumType w:start="21"/>
          <w:cols w:space="720"/>
          <w:formProt w:val="0"/>
          <w:titlePg/>
          <w:docGrid w:linePitch="360"/>
        </w:sectPr>
      </w:pPr>
      <w:r>
        <w:rPr>
          <w:noProof/>
          <w:lang w:eastAsia="ru-RU"/>
        </w:rPr>
        <w:drawing>
          <wp:inline distT="0" distB="0" distL="0" distR="0">
            <wp:extent cx="9249410" cy="5557520"/>
            <wp:effectExtent l="0" t="0" r="0" b="0"/>
            <wp:docPr id="3" name="_x005F_x0000_i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5F_x0000_i1027"/>
                    <pic:cNvPicPr>
                      <a:picLocks noChangeAspect="1" noChangeArrowheads="1"/>
                    </pic:cNvPicPr>
                  </pic:nvPicPr>
                  <pic:blipFill>
                    <a:blip r:embed="rId171"/>
                    <a:srcRect l="-22" t="-37" r="-22" b="-37"/>
                    <a:stretch>
                      <a:fillRect/>
                    </a:stretch>
                  </pic:blipFill>
                  <pic:spPr bwMode="auto">
                    <a:xfrm>
                      <a:off x="0" y="0"/>
                      <a:ext cx="9249410" cy="5557520"/>
                    </a:xfrm>
                    <a:prstGeom prst="rect">
                      <a:avLst/>
                    </a:prstGeom>
                    <a:noFill/>
                  </pic:spPr>
                </pic:pic>
              </a:graphicData>
            </a:graphic>
          </wp:inline>
        </w:drawing>
      </w:r>
    </w:p>
    <w:p w:rsidR="00F06D11" w:rsidRDefault="0038137D">
      <w:pPr>
        <w:keepNext/>
        <w:keepLines/>
        <w:spacing w:before="0" w:after="0"/>
        <w:ind w:left="5783" w:firstLine="0"/>
        <w:jc w:val="left"/>
      </w:pPr>
      <w:r>
        <w:t xml:space="preserve">Приложение № 4 к Учетной политике </w:t>
      </w:r>
    </w:p>
    <w:p w:rsidR="00F06D11" w:rsidRDefault="0038137D">
      <w:pPr>
        <w:spacing w:before="0" w:after="0"/>
        <w:ind w:left="5783" w:firstLine="0"/>
        <w:jc w:val="left"/>
      </w:pPr>
      <w:r>
        <w:t xml:space="preserve">Исполнительного комитета </w:t>
      </w:r>
    </w:p>
    <w:p w:rsidR="00F06D11" w:rsidRDefault="0038137D">
      <w:pPr>
        <w:keepNext/>
        <w:keepLines/>
        <w:spacing w:before="0" w:after="0"/>
        <w:ind w:left="5783" w:firstLine="0"/>
        <w:jc w:val="left"/>
      </w:pPr>
      <w:r>
        <w:t>муниципального образования</w:t>
      </w:r>
    </w:p>
    <w:p w:rsidR="00F06D11" w:rsidRDefault="0038137D">
      <w:pPr>
        <w:spacing w:before="0" w:after="0"/>
        <w:ind w:left="5783" w:firstLine="0"/>
        <w:jc w:val="left"/>
      </w:pPr>
      <w:r>
        <w:t>город Набережные Челны</w:t>
      </w:r>
    </w:p>
    <w:p w:rsidR="00620920" w:rsidRDefault="00620920">
      <w:pPr>
        <w:spacing w:before="0" w:after="0"/>
        <w:ind w:left="5783" w:firstLine="0"/>
        <w:jc w:val="left"/>
      </w:pPr>
      <w:r w:rsidRPr="00620920">
        <w:rPr>
          <w:rFonts w:eastAsia="Calibri"/>
        </w:rPr>
        <w:t>от «30»_12_2025 №3142-р</w:t>
      </w:r>
    </w:p>
    <w:p w:rsidR="00F06D11" w:rsidRDefault="00F06D11">
      <w:pPr>
        <w:spacing w:before="0" w:after="0"/>
        <w:ind w:left="5783" w:firstLine="0"/>
        <w:jc w:val="left"/>
      </w:pPr>
    </w:p>
    <w:p w:rsidR="00F06D11" w:rsidRDefault="00F06D11">
      <w:pPr>
        <w:spacing w:before="0" w:after="0"/>
        <w:ind w:left="5783" w:firstLine="0"/>
        <w:jc w:val="left"/>
      </w:pPr>
    </w:p>
    <w:p w:rsidR="00F06D11" w:rsidRDefault="0038137D">
      <w:pPr>
        <w:keepNext/>
        <w:keepLines/>
        <w:spacing w:after="300" w:line="240" w:lineRule="auto"/>
        <w:ind w:firstLine="0"/>
        <w:contextualSpacing/>
        <w:jc w:val="center"/>
        <w:outlineLvl w:val="0"/>
        <w:rPr>
          <w:b/>
          <w:spacing w:val="5"/>
          <w:sz w:val="28"/>
          <w:szCs w:val="52"/>
        </w:rPr>
      </w:pPr>
      <w:r>
        <w:rPr>
          <w:spacing w:val="5"/>
          <w:sz w:val="24"/>
          <w:szCs w:val="24"/>
        </w:rPr>
        <w:t>Неунифицированные формы регистров учета</w:t>
      </w:r>
    </w:p>
    <w:p w:rsidR="00F06D11" w:rsidRDefault="00F06D11">
      <w:pPr>
        <w:spacing w:after="300" w:line="240" w:lineRule="auto"/>
        <w:ind w:firstLine="0"/>
        <w:contextualSpacing/>
        <w:jc w:val="center"/>
        <w:outlineLvl w:val="0"/>
        <w:rPr>
          <w:b/>
          <w:spacing w:val="5"/>
          <w:sz w:val="28"/>
          <w:szCs w:val="52"/>
        </w:rPr>
      </w:pPr>
    </w:p>
    <w:p w:rsidR="00F06D11" w:rsidRDefault="0038137D">
      <w:pPr>
        <w:shd w:val="clear" w:color="auto" w:fill="FFFFFF"/>
        <w:spacing w:before="0" w:after="0" w:line="240" w:lineRule="auto"/>
        <w:ind w:firstLine="737"/>
        <w:contextualSpacing/>
        <w:rPr>
          <w:sz w:val="24"/>
          <w:szCs w:val="24"/>
        </w:rPr>
      </w:pPr>
      <w:r>
        <w:rPr>
          <w:sz w:val="24"/>
          <w:szCs w:val="24"/>
        </w:rPr>
        <w:t>1. Первичные (сводные) учетные документы принимаются к бухгалтерскому учету, если они составлены по унифицированным формам документов, утвержденным                        в соответствии с законодательством Российской Федерации.</w:t>
      </w:r>
    </w:p>
    <w:p w:rsidR="00F06D11" w:rsidRDefault="0038137D">
      <w:pPr>
        <w:shd w:val="clear" w:color="auto" w:fill="FFFFFF"/>
        <w:spacing w:before="0" w:after="0" w:line="240" w:lineRule="auto"/>
        <w:ind w:firstLine="737"/>
        <w:contextualSpacing/>
        <w:rPr>
          <w:sz w:val="24"/>
          <w:szCs w:val="24"/>
        </w:rPr>
      </w:pPr>
      <w:r>
        <w:rPr>
          <w:sz w:val="24"/>
          <w:szCs w:val="24"/>
        </w:rPr>
        <w:t>2. Первичные (сводные) учетные документы принимаются к бухгалтерскому учету по формам которые не унифицированы, но должны содержать следующие обязательные реквизиты:</w:t>
      </w:r>
    </w:p>
    <w:p w:rsidR="00F06D11" w:rsidRDefault="0038137D">
      <w:pPr>
        <w:shd w:val="clear" w:color="auto" w:fill="FFFFFF"/>
        <w:spacing w:before="0" w:after="0" w:line="240" w:lineRule="auto"/>
        <w:ind w:firstLine="737"/>
        <w:contextualSpacing/>
        <w:rPr>
          <w:sz w:val="24"/>
          <w:szCs w:val="24"/>
        </w:rPr>
      </w:pPr>
      <w:r>
        <w:rPr>
          <w:sz w:val="24"/>
          <w:szCs w:val="24"/>
        </w:rPr>
        <w:t>1) наименование документа;</w:t>
      </w:r>
    </w:p>
    <w:p w:rsidR="00F06D11" w:rsidRDefault="0038137D">
      <w:pPr>
        <w:shd w:val="clear" w:color="auto" w:fill="FFFFFF"/>
        <w:spacing w:before="0" w:after="0" w:line="240" w:lineRule="auto"/>
        <w:ind w:firstLine="737"/>
        <w:contextualSpacing/>
        <w:rPr>
          <w:sz w:val="24"/>
          <w:szCs w:val="24"/>
        </w:rPr>
      </w:pPr>
      <w:r>
        <w:rPr>
          <w:sz w:val="24"/>
          <w:szCs w:val="24"/>
        </w:rPr>
        <w:t>2) дату составления документа;</w:t>
      </w:r>
    </w:p>
    <w:p w:rsidR="00F06D11" w:rsidRDefault="0038137D">
      <w:pPr>
        <w:shd w:val="clear" w:color="auto" w:fill="FFFFFF"/>
        <w:spacing w:before="0" w:after="0" w:line="240" w:lineRule="auto"/>
        <w:ind w:firstLine="737"/>
        <w:contextualSpacing/>
        <w:rPr>
          <w:sz w:val="24"/>
          <w:szCs w:val="24"/>
        </w:rPr>
      </w:pPr>
      <w:r>
        <w:rPr>
          <w:sz w:val="24"/>
          <w:szCs w:val="24"/>
        </w:rPr>
        <w:t>3) наименование субъекта учета, составившего документ;</w:t>
      </w:r>
    </w:p>
    <w:p w:rsidR="00F06D11" w:rsidRDefault="0038137D">
      <w:pPr>
        <w:shd w:val="clear" w:color="auto" w:fill="FFFFFF"/>
        <w:spacing w:before="0" w:after="0" w:line="240" w:lineRule="auto"/>
        <w:ind w:firstLine="737"/>
        <w:contextualSpacing/>
        <w:rPr>
          <w:sz w:val="24"/>
          <w:szCs w:val="24"/>
        </w:rPr>
      </w:pPr>
      <w:r>
        <w:rPr>
          <w:sz w:val="24"/>
          <w:szCs w:val="24"/>
        </w:rPr>
        <w:t>4) содержание факта хозяйственной жизни;</w:t>
      </w:r>
    </w:p>
    <w:p w:rsidR="00F06D11" w:rsidRDefault="0038137D">
      <w:pPr>
        <w:shd w:val="clear" w:color="auto" w:fill="FFFFFF"/>
        <w:spacing w:before="0" w:after="0" w:line="240" w:lineRule="auto"/>
        <w:ind w:firstLine="737"/>
        <w:contextualSpacing/>
        <w:rPr>
          <w:sz w:val="24"/>
          <w:szCs w:val="24"/>
        </w:rPr>
      </w:pPr>
      <w:r>
        <w:rPr>
          <w:sz w:val="24"/>
          <w:szCs w:val="24"/>
        </w:rPr>
        <w:t>5) величина натурального и (или) денежного измерения факта хозяйственной жизни с указанием единиц измерения;</w:t>
      </w:r>
    </w:p>
    <w:p w:rsidR="00F06D11" w:rsidRDefault="0038137D">
      <w:pPr>
        <w:shd w:val="clear" w:color="auto" w:fill="FFFFFF"/>
        <w:spacing w:before="0" w:after="0" w:line="240" w:lineRule="auto"/>
        <w:ind w:firstLine="737"/>
        <w:contextualSpacing/>
        <w:rPr>
          <w:sz w:val="24"/>
          <w:szCs w:val="24"/>
        </w:rPr>
      </w:pPr>
      <w:r>
        <w:rPr>
          <w:sz w:val="24"/>
          <w:szCs w:val="24"/>
        </w:rPr>
        <w:t>6) информация, необходимая для представления субъектом учета (администратором доходов бюджетов бюджетной системы Российской Федерации)                    в Государственную информационную систему о государственных и муниципальных платежах;</w:t>
      </w:r>
    </w:p>
    <w:p w:rsidR="00F06D11" w:rsidRDefault="0038137D">
      <w:pPr>
        <w:shd w:val="clear" w:color="auto" w:fill="FFFFFF"/>
        <w:spacing w:before="0" w:after="0" w:line="240" w:lineRule="auto"/>
        <w:ind w:firstLine="737"/>
        <w:contextualSpacing/>
        <w:rPr>
          <w:sz w:val="24"/>
          <w:szCs w:val="24"/>
        </w:rPr>
      </w:pPr>
      <w:r>
        <w:rPr>
          <w:sz w:val="24"/>
          <w:szCs w:val="24"/>
        </w:rPr>
        <w:t>7) наименование должности лица (лиц), совершившего (совершивших) сделку, операцию и ответственного (ответственных) за правильность ее оформления, либо наименование должности лица (лиц), ответственного (ответственных) за оформление свершившегося события;</w:t>
      </w:r>
    </w:p>
    <w:p w:rsidR="00F06D11" w:rsidRDefault="0038137D">
      <w:pPr>
        <w:shd w:val="clear" w:color="auto" w:fill="FFFFFF"/>
        <w:spacing w:before="0" w:after="0" w:line="240" w:lineRule="auto"/>
        <w:ind w:firstLine="737"/>
        <w:contextualSpacing/>
        <w:sectPr w:rsidR="00F06D11">
          <w:headerReference w:type="even" r:id="rId172"/>
          <w:headerReference w:type="default" r:id="rId173"/>
          <w:footerReference w:type="even" r:id="rId174"/>
          <w:footerReference w:type="default" r:id="rId175"/>
          <w:headerReference w:type="first" r:id="rId176"/>
          <w:footerReference w:type="first" r:id="rId177"/>
          <w:pgSz w:w="11906" w:h="16838"/>
          <w:pgMar w:top="1134" w:right="850" w:bottom="766" w:left="1701" w:header="720" w:footer="709" w:gutter="0"/>
          <w:pgNumType w:start="25"/>
          <w:cols w:space="720"/>
          <w:formProt w:val="0"/>
          <w:docGrid w:linePitch="360"/>
        </w:sectPr>
      </w:pPr>
      <w:r>
        <w:rPr>
          <w:sz w:val="24"/>
          <w:szCs w:val="24"/>
        </w:rPr>
        <w:t>8) подписи лиц, с указанием их фамилий и инициалов либо иных реквизитов, необходимых для идентификации этих лиц.</w:t>
      </w:r>
    </w:p>
    <w:p w:rsidR="00F06D11" w:rsidRDefault="0038137D">
      <w:pPr>
        <w:keepNext/>
        <w:keepLines/>
        <w:spacing w:before="0" w:after="0"/>
        <w:ind w:left="5726" w:firstLine="0"/>
        <w:jc w:val="left"/>
      </w:pPr>
      <w:r>
        <w:t>Приложение № 5</w:t>
      </w:r>
      <w:r>
        <w:br w:type="textWrapping" w:clear="all"/>
        <w:t>к Учетной политике</w:t>
      </w:r>
      <w:r>
        <w:br w:type="textWrapping" w:clear="all"/>
        <w:t xml:space="preserve">Исполнительного комитета </w:t>
      </w:r>
    </w:p>
    <w:p w:rsidR="00F06D11" w:rsidRDefault="0038137D">
      <w:pPr>
        <w:keepNext/>
        <w:keepLines/>
        <w:spacing w:before="0" w:after="0"/>
        <w:ind w:left="5726" w:firstLine="0"/>
        <w:jc w:val="left"/>
      </w:pPr>
      <w:r>
        <w:t xml:space="preserve">муниципального образования </w:t>
      </w:r>
    </w:p>
    <w:p w:rsidR="00F06D11" w:rsidRDefault="0038137D">
      <w:pPr>
        <w:spacing w:before="0" w:after="0"/>
        <w:ind w:left="5726" w:firstLine="0"/>
        <w:jc w:val="left"/>
      </w:pPr>
      <w:r>
        <w:t>город Набережные Челны</w:t>
      </w:r>
    </w:p>
    <w:p w:rsidR="00620920" w:rsidRDefault="00620920">
      <w:pPr>
        <w:spacing w:before="0" w:after="0"/>
        <w:ind w:left="5726" w:firstLine="0"/>
        <w:jc w:val="left"/>
      </w:pPr>
      <w:r w:rsidRPr="00620920">
        <w:rPr>
          <w:rFonts w:eastAsia="Calibri"/>
        </w:rPr>
        <w:t>от «30»_12_2025 №3142-р</w:t>
      </w:r>
    </w:p>
    <w:p w:rsidR="00F06D11" w:rsidRDefault="00F06D11">
      <w:pPr>
        <w:keepNext/>
        <w:keepLines/>
        <w:ind w:firstLine="0"/>
        <w:jc w:val="right"/>
      </w:pPr>
    </w:p>
    <w:p w:rsidR="00F06D11" w:rsidRDefault="00F06D11">
      <w:pPr>
        <w:keepNext/>
        <w:keepLines/>
        <w:spacing w:before="0" w:after="0" w:line="17" w:lineRule="exact"/>
        <w:ind w:firstLine="0"/>
        <w:contextualSpacing/>
        <w:jc w:val="center"/>
        <w:outlineLvl w:val="0"/>
      </w:pPr>
    </w:p>
    <w:p w:rsidR="00F06D11" w:rsidRDefault="0038137D">
      <w:pPr>
        <w:spacing w:before="0" w:line="283" w:lineRule="exact"/>
        <w:ind w:left="482" w:firstLine="0"/>
        <w:contextualSpacing/>
        <w:jc w:val="center"/>
        <w:outlineLvl w:val="0"/>
      </w:pPr>
      <w:r>
        <w:t>Порядок организации и осуществления внутреннего контроля</w:t>
      </w:r>
    </w:p>
    <w:p w:rsidR="00F06D11" w:rsidRDefault="00F06D11">
      <w:pPr>
        <w:spacing w:before="0" w:line="283" w:lineRule="exact"/>
        <w:ind w:left="482" w:firstLine="0"/>
        <w:contextualSpacing/>
        <w:outlineLvl w:val="0"/>
      </w:pPr>
    </w:p>
    <w:p w:rsidR="00F06D11" w:rsidRDefault="0038137D">
      <w:pPr>
        <w:spacing w:before="0" w:line="283" w:lineRule="exact"/>
        <w:ind w:left="482" w:firstLine="0"/>
        <w:contextualSpacing/>
        <w:outlineLvl w:val="0"/>
      </w:pPr>
      <w:r>
        <w:t xml:space="preserve">                                            ГЛАВА 1. Общие положения</w:t>
      </w:r>
    </w:p>
    <w:p w:rsidR="00F06D11" w:rsidRDefault="00F06D11">
      <w:pPr>
        <w:spacing w:before="0" w:line="283" w:lineRule="exact"/>
        <w:ind w:left="482" w:firstLine="0"/>
        <w:contextualSpacing/>
        <w:outlineLvl w:val="0"/>
      </w:pPr>
    </w:p>
    <w:p w:rsidR="00F06D11" w:rsidRDefault="0038137D">
      <w:pPr>
        <w:ind w:firstLine="709"/>
        <w:contextualSpacing/>
        <w:outlineLvl w:val="1"/>
      </w:pPr>
      <w:r>
        <w:t>1. Внутренний контроль направлен:</w:t>
      </w:r>
    </w:p>
    <w:p w:rsidR="00F06D11" w:rsidRDefault="0038137D">
      <w:pPr>
        <w:ind w:firstLine="709"/>
        <w:contextualSpacing/>
        <w:outlineLvl w:val="1"/>
      </w:pPr>
      <w:r>
        <w:t>1) на установление соответствия проводимых финансово-хозяйственных операций требованиям нормативных правовых актов и учетной политики;</w:t>
      </w:r>
    </w:p>
    <w:p w:rsidR="00F06D11" w:rsidRDefault="0038137D">
      <w:pPr>
        <w:ind w:firstLine="709"/>
        <w:contextualSpacing/>
      </w:pPr>
      <w:r>
        <w:t>2) повышение уровня ведения учета, составления отчетности;</w:t>
      </w:r>
    </w:p>
    <w:p w:rsidR="00F06D11" w:rsidRDefault="0038137D">
      <w:pPr>
        <w:ind w:firstLine="709"/>
        <w:contextualSpacing/>
      </w:pPr>
      <w:r>
        <w:t>3) исключение ошибок и нарушений норм законодательства Российской Федерации в части ведения учета и составления отчетности;</w:t>
      </w:r>
    </w:p>
    <w:p w:rsidR="00F06D11" w:rsidRDefault="0038137D">
      <w:pPr>
        <w:ind w:firstLine="709"/>
        <w:contextualSpacing/>
      </w:pPr>
      <w:r>
        <w:t>4) повышение результативности использования финансовых средств и имущества.</w:t>
      </w:r>
    </w:p>
    <w:p w:rsidR="00F06D11" w:rsidRDefault="0038137D">
      <w:pPr>
        <w:ind w:firstLine="709"/>
        <w:contextualSpacing/>
      </w:pPr>
      <w:r>
        <w:t>2. Целями внутреннего контроля являются:</w:t>
      </w:r>
    </w:p>
    <w:p w:rsidR="00F06D11" w:rsidRDefault="0038137D">
      <w:pPr>
        <w:ind w:firstLine="709"/>
        <w:contextualSpacing/>
      </w:pPr>
      <w:r>
        <w:t>1) подтверждение достоверности данных учета и отчетности;</w:t>
      </w:r>
    </w:p>
    <w:p w:rsidR="00F06D11" w:rsidRDefault="0038137D">
      <w:pPr>
        <w:ind w:firstLine="709"/>
        <w:contextualSpacing/>
      </w:pPr>
      <w:r>
        <w:t>2) обеспечение соблюдения законодательства Российской Федерации, нормативных правовых актов и иных актов, регулирующих финансово-хозяйственную деятельность субъекта учета.</w:t>
      </w:r>
    </w:p>
    <w:p w:rsidR="00F06D11" w:rsidRDefault="0038137D">
      <w:pPr>
        <w:ind w:firstLine="709"/>
        <w:contextualSpacing/>
      </w:pPr>
      <w:r>
        <w:t>3. Основными задачами внутреннего контроля являются:</w:t>
      </w:r>
    </w:p>
    <w:p w:rsidR="00F06D11" w:rsidRDefault="0038137D">
      <w:pPr>
        <w:ind w:firstLine="709"/>
        <w:contextualSpacing/>
      </w:pPr>
      <w:r>
        <w:t>1) оперативное выявление, устранение и пресечение нарушений норм законодательства Российской Федерации  и иных нормативных правовых актов, регулирующих ведение учета, составление отчетности;</w:t>
      </w:r>
    </w:p>
    <w:p w:rsidR="00F06D11" w:rsidRDefault="0038137D">
      <w:pPr>
        <w:ind w:firstLine="709"/>
        <w:contextualSpacing/>
      </w:pPr>
      <w:r>
        <w:t>2) оперативное выявление и пресечение действий должностных лиц, негативно влияющих на эффективность использования финансовых средств и имущества;</w:t>
      </w:r>
    </w:p>
    <w:p w:rsidR="00F06D11" w:rsidRDefault="0038137D">
      <w:pPr>
        <w:ind w:firstLine="709"/>
        <w:contextualSpacing/>
      </w:pPr>
      <w:r>
        <w:t>3) повышение экономности и результативности использования финансовых средств и имущества путем принятия и реализации решений по результатам внутреннего финансового контроля.</w:t>
      </w:r>
    </w:p>
    <w:p w:rsidR="00F06D11" w:rsidRDefault="0038137D">
      <w:pPr>
        <w:spacing w:line="283" w:lineRule="exact"/>
        <w:ind w:firstLine="709"/>
        <w:contextualSpacing/>
      </w:pPr>
      <w:r>
        <w:t>4.  Объектами внутреннего контроля являются:</w:t>
      </w:r>
    </w:p>
    <w:p w:rsidR="00F06D11" w:rsidRDefault="0038137D">
      <w:pPr>
        <w:spacing w:line="283" w:lineRule="exact"/>
        <w:ind w:firstLine="709"/>
        <w:contextualSpacing/>
      </w:pPr>
      <w:r>
        <w:t>1) плановые (прогнозные) документы;</w:t>
      </w:r>
    </w:p>
    <w:p w:rsidR="00F06D11" w:rsidRDefault="0038137D">
      <w:pPr>
        <w:spacing w:line="283" w:lineRule="exact"/>
        <w:ind w:firstLine="709"/>
        <w:contextualSpacing/>
      </w:pPr>
      <w:r>
        <w:t>2) договоры (контракты) на приобретение товаров (работ, услуг);</w:t>
      </w:r>
    </w:p>
    <w:p w:rsidR="00F06D11" w:rsidRDefault="0038137D">
      <w:pPr>
        <w:spacing w:line="283" w:lineRule="exact"/>
        <w:ind w:firstLine="709"/>
        <w:contextualSpacing/>
      </w:pPr>
      <w:r>
        <w:t>3)  распоряжения руководителя Исполнительного комитета</w:t>
      </w:r>
    </w:p>
    <w:p w:rsidR="00F06D11" w:rsidRDefault="0038137D">
      <w:pPr>
        <w:spacing w:line="283" w:lineRule="exact"/>
        <w:ind w:firstLine="709"/>
        <w:contextualSpacing/>
      </w:pPr>
      <w:r>
        <w:t>4) первичные учетные документы и регистры учета;</w:t>
      </w:r>
    </w:p>
    <w:p w:rsidR="00F06D11" w:rsidRDefault="0038137D">
      <w:pPr>
        <w:spacing w:line="283" w:lineRule="exact"/>
        <w:ind w:firstLine="709"/>
        <w:contextualSpacing/>
      </w:pPr>
      <w:r>
        <w:t>5) хозяйственные операции, отраженные в учете;</w:t>
      </w:r>
    </w:p>
    <w:p w:rsidR="00F06D11" w:rsidRDefault="0038137D">
      <w:pPr>
        <w:spacing w:line="283" w:lineRule="exact"/>
        <w:ind w:firstLine="709"/>
        <w:contextualSpacing/>
      </w:pPr>
      <w:r>
        <w:t>6) отчетность;</w:t>
      </w:r>
    </w:p>
    <w:p w:rsidR="00F06D11" w:rsidRDefault="0038137D">
      <w:pPr>
        <w:spacing w:before="0" w:after="0" w:line="283" w:lineRule="exact"/>
        <w:ind w:firstLine="709"/>
        <w:contextualSpacing/>
        <w:rPr>
          <w:b/>
          <w:bCs/>
        </w:rPr>
      </w:pPr>
      <w:r>
        <w:t>7) иные объекты по распоряжению руководителя Исполнительного комитета.</w:t>
      </w:r>
    </w:p>
    <w:p w:rsidR="00F06D11" w:rsidRDefault="00F06D11">
      <w:pPr>
        <w:spacing w:before="0" w:after="0" w:line="283" w:lineRule="exact"/>
        <w:ind w:firstLine="709"/>
        <w:contextualSpacing/>
        <w:rPr>
          <w:b/>
          <w:bCs/>
        </w:rPr>
      </w:pPr>
    </w:p>
    <w:p w:rsidR="00F06D11" w:rsidRDefault="0038137D">
      <w:pPr>
        <w:spacing w:before="0" w:after="0" w:line="283" w:lineRule="exact"/>
        <w:ind w:firstLine="709"/>
        <w:contextualSpacing/>
        <w:outlineLvl w:val="0"/>
      </w:pPr>
      <w:r>
        <w:rPr>
          <w:b/>
        </w:rPr>
        <w:t xml:space="preserve">                           </w:t>
      </w:r>
      <w:r>
        <w:t>ГЛАВА 2. Организация внутреннего контроля</w:t>
      </w:r>
    </w:p>
    <w:p w:rsidR="00F06D11" w:rsidRDefault="00F06D11">
      <w:pPr>
        <w:spacing w:before="0" w:after="0" w:line="283" w:lineRule="exact"/>
        <w:ind w:firstLine="709"/>
        <w:contextualSpacing/>
        <w:outlineLvl w:val="0"/>
      </w:pPr>
    </w:p>
    <w:p w:rsidR="00F06D11" w:rsidRDefault="0038137D">
      <w:pPr>
        <w:ind w:firstLine="709"/>
        <w:contextualSpacing/>
        <w:outlineLvl w:val="1"/>
      </w:pPr>
      <w:r>
        <w:t>5. Внутренний контроль осуществляется непрерывно.</w:t>
      </w:r>
    </w:p>
    <w:p w:rsidR="00F06D11" w:rsidRDefault="0038137D">
      <w:pPr>
        <w:ind w:firstLine="709"/>
        <w:contextualSpacing/>
        <w:outlineLvl w:val="1"/>
      </w:pPr>
      <w:r>
        <w:t>6. Внутренний контроль осуществляется в следующих видах:</w:t>
      </w:r>
    </w:p>
    <w:p w:rsidR="00F06D11" w:rsidRDefault="0038137D">
      <w:pPr>
        <w:ind w:firstLine="709"/>
        <w:contextualSpacing/>
        <w:outlineLvl w:val="1"/>
      </w:pPr>
      <w:r>
        <w:t>1) предварительный контроль - комплекс процедур и мероприятий, направленных на предотвращение возможных ошибочных и (или) незаконных действий до совершения финансово-хозяйственной операции (ряда финансово-хозяйственных операций);</w:t>
      </w:r>
    </w:p>
    <w:p w:rsidR="00F06D11" w:rsidRDefault="0038137D">
      <w:pPr>
        <w:ind w:firstLine="709"/>
        <w:contextualSpacing/>
        <w:outlineLvl w:val="1"/>
      </w:pPr>
      <w:r>
        <w:t>2) текущий контроль - комплекс процедур и мероприятий, направленных на предотвращение ошибочных и (или) незаконных действий в процессе совершения финансово-хозяйственной операции (ряда финансово-хозяйственных операций);</w:t>
      </w:r>
    </w:p>
    <w:p w:rsidR="00F06D11" w:rsidRDefault="0038137D">
      <w:pPr>
        <w:ind w:firstLine="709"/>
        <w:contextualSpacing/>
        <w:outlineLvl w:val="1"/>
      </w:pPr>
      <w:r>
        <w:t>3) последующий контроль - комплекс процедур и мероприятий, направленных на выявление ошибочных и (или) незаконных действий и недостатков после совершения финансово-хозяйственной операции (ряда финансово-хозяйственных операций) и предотвращение, ликвидацию последствий таких действий.</w:t>
      </w:r>
    </w:p>
    <w:p w:rsidR="00F06D11" w:rsidRDefault="0038137D">
      <w:pPr>
        <w:ind w:firstLine="709"/>
        <w:contextualSpacing/>
        <w:outlineLvl w:val="1"/>
      </w:pPr>
      <w:r>
        <w:t>7. Предварительный контроль осуществляют должностные лица (руководители структурных подразделений, их заместители, иные сотрудники) в соответствии с должностными (функциональными) обязанностями в процессе инициирования финансово-хозяйственной операции.</w:t>
      </w:r>
    </w:p>
    <w:p w:rsidR="00F06D11" w:rsidRDefault="0038137D">
      <w:pPr>
        <w:ind w:firstLine="709"/>
        <w:contextualSpacing/>
        <w:outlineLvl w:val="1"/>
      </w:pPr>
      <w:r>
        <w:t>8. К мероприятиям предварительного контроля относятся:</w:t>
      </w:r>
    </w:p>
    <w:p w:rsidR="00F06D11" w:rsidRDefault="0038137D">
      <w:pPr>
        <w:ind w:firstLine="709"/>
        <w:contextualSpacing/>
        <w:outlineLvl w:val="1"/>
      </w:pPr>
      <w:r>
        <w:t>1) проверка документов до совершения хозяйственных операций в соответствии с правилами и графиком документооборота;</w:t>
      </w:r>
    </w:p>
    <w:p w:rsidR="00F06D11" w:rsidRDefault="0038137D">
      <w:pPr>
        <w:ind w:firstLine="709"/>
        <w:contextualSpacing/>
        <w:outlineLvl w:val="1"/>
      </w:pPr>
      <w:r>
        <w:t>2) контроль за принятием обязательств;</w:t>
      </w:r>
    </w:p>
    <w:p w:rsidR="00F06D11" w:rsidRDefault="0038137D">
      <w:pPr>
        <w:ind w:firstLine="709"/>
        <w:contextualSpacing/>
        <w:outlineLvl w:val="1"/>
      </w:pPr>
      <w:r>
        <w:t>3) проверка законности и экономической целесообразности проектов заключаемых контрактов (договоров);</w:t>
      </w:r>
    </w:p>
    <w:p w:rsidR="00F06D11" w:rsidRDefault="0038137D">
      <w:pPr>
        <w:ind w:firstLine="709"/>
        <w:contextualSpacing/>
        <w:outlineLvl w:val="1"/>
      </w:pPr>
      <w:r>
        <w:t>4) проверка проектов распорядительных актов руководителя субъекта учета (приказов, распоряжений);</w:t>
      </w:r>
    </w:p>
    <w:p w:rsidR="00F06D11" w:rsidRDefault="0038137D">
      <w:pPr>
        <w:ind w:firstLine="709"/>
        <w:contextualSpacing/>
        <w:outlineLvl w:val="1"/>
      </w:pPr>
      <w:r>
        <w:t>5) проверка отчетности до утверждения или подписания.</w:t>
      </w:r>
    </w:p>
    <w:p w:rsidR="00F06D11" w:rsidRDefault="0038137D">
      <w:pPr>
        <w:ind w:firstLine="709"/>
        <w:contextualSpacing/>
        <w:outlineLvl w:val="1"/>
      </w:pPr>
      <w:r>
        <w:t>9. Текущий контроль на постоянной основе осуществляется специалистами, осуществляющими ведение учета и составление отчетности.</w:t>
      </w:r>
    </w:p>
    <w:p w:rsidR="00F06D11" w:rsidRDefault="0038137D">
      <w:pPr>
        <w:ind w:firstLine="709"/>
        <w:contextualSpacing/>
        <w:outlineLvl w:val="1"/>
      </w:pPr>
      <w:r>
        <w:t>10. К мероприятиям текущего контроля относятся:</w:t>
      </w:r>
    </w:p>
    <w:p w:rsidR="00F06D11" w:rsidRDefault="0038137D">
      <w:pPr>
        <w:ind w:firstLine="709"/>
        <w:contextualSpacing/>
        <w:outlineLvl w:val="1"/>
      </w:pPr>
      <w:r>
        <w:t>1)проверка расходных денежных документов (расчетно-платежных ведомостей, заявок на кассовый расход, счетов и т.п.) до их оплаты. Фактом прохождения контроля является разрешение (санкционирование) принять документы к оплате;</w:t>
      </w:r>
    </w:p>
    <w:p w:rsidR="00F06D11" w:rsidRDefault="0038137D">
      <w:pPr>
        <w:ind w:firstLine="709"/>
        <w:contextualSpacing/>
        <w:outlineLvl w:val="1"/>
      </w:pPr>
      <w:r>
        <w:t>2) проверка полноты оприходования полученных наличных денежных средств;</w:t>
      </w:r>
    </w:p>
    <w:p w:rsidR="00F06D11" w:rsidRDefault="0038137D">
      <w:pPr>
        <w:ind w:firstLine="709"/>
        <w:contextualSpacing/>
        <w:outlineLvl w:val="1"/>
      </w:pPr>
      <w:r>
        <w:t>3) контроль за взысканием дебиторской и погашением кредиторской задолженности;</w:t>
      </w:r>
    </w:p>
    <w:p w:rsidR="00F06D11" w:rsidRDefault="0038137D">
      <w:pPr>
        <w:ind w:firstLine="709"/>
        <w:contextualSpacing/>
        <w:outlineLvl w:val="1"/>
      </w:pPr>
      <w:r>
        <w:t>4) сверка данных аналитического учета с данными синтетического учета;</w:t>
      </w:r>
    </w:p>
    <w:p w:rsidR="00F06D11" w:rsidRDefault="0038137D">
      <w:pPr>
        <w:ind w:firstLine="709"/>
        <w:contextualSpacing/>
        <w:outlineLvl w:val="1"/>
      </w:pPr>
      <w:r>
        <w:t>5) проверка корректности формирования остатков на счетах с учетом их признака (активный, пассивный) в ходе отражения каждого факта хозяйственной жизни (первичного учетного или сводного документа) и в отношении остатков, формируемых на соответствующих счетах аналитического учета Рабочего плана счетов.</w:t>
      </w:r>
    </w:p>
    <w:p w:rsidR="00F06D11" w:rsidRDefault="0038137D">
      <w:pPr>
        <w:ind w:firstLine="709"/>
        <w:contextualSpacing/>
        <w:outlineLvl w:val="1"/>
      </w:pPr>
      <w:r>
        <w:t>11. Последующий контроль осуществляет должностное лицо, уполномоченное Распоряжением Руководителя Исполнительного комитета.</w:t>
      </w:r>
    </w:p>
    <w:p w:rsidR="00F06D11" w:rsidRDefault="0038137D">
      <w:pPr>
        <w:ind w:firstLine="709"/>
        <w:contextualSpacing/>
        <w:outlineLvl w:val="1"/>
      </w:pPr>
      <w:r>
        <w:t>12. К мероприятиям последующего контроля относятся:</w:t>
      </w:r>
    </w:p>
    <w:p w:rsidR="00F06D11" w:rsidRDefault="0038137D">
      <w:pPr>
        <w:ind w:firstLine="709"/>
        <w:contextualSpacing/>
        <w:outlineLvl w:val="1"/>
      </w:pPr>
      <w:r>
        <w:t>1) проверка первичных документов после совершения финансово-хозяйственных операций на соблюдение правил и графика документооборота;</w:t>
      </w:r>
    </w:p>
    <w:p w:rsidR="00F06D11" w:rsidRDefault="0038137D">
      <w:pPr>
        <w:ind w:firstLine="709"/>
        <w:contextualSpacing/>
        <w:outlineLvl w:val="1"/>
      </w:pPr>
      <w:r>
        <w:t>2) проверка достоверности отражения финансово-хозяйственных операций в учете и отчетности;</w:t>
      </w:r>
    </w:p>
    <w:p w:rsidR="00F06D11" w:rsidRDefault="0038137D">
      <w:pPr>
        <w:ind w:firstLine="709"/>
        <w:contextualSpacing/>
        <w:outlineLvl w:val="1"/>
      </w:pPr>
      <w:r>
        <w:t>3) проверка результатов финансово-хозяйственной деятельности;</w:t>
      </w:r>
    </w:p>
    <w:p w:rsidR="00F06D11" w:rsidRDefault="0038137D">
      <w:pPr>
        <w:ind w:firstLine="709"/>
        <w:contextualSpacing/>
        <w:outlineLvl w:val="1"/>
      </w:pPr>
      <w:r>
        <w:t>4) проверка результатов инвентаризации имущества и обязательств;</w:t>
      </w:r>
    </w:p>
    <w:p w:rsidR="00F06D11" w:rsidRDefault="0038137D">
      <w:pPr>
        <w:ind w:firstLine="709"/>
        <w:contextualSpacing/>
        <w:outlineLvl w:val="1"/>
      </w:pPr>
      <w:r>
        <w:t>5) проверка участков бухгалтерского учета на предмет соблюдения работниками требований норм законодательства Российской Федерации  в области учета в отношении завершенных операций финансово-хозяйственной деятельности;</w:t>
      </w:r>
    </w:p>
    <w:p w:rsidR="00F06D11" w:rsidRDefault="0038137D">
      <w:pPr>
        <w:ind w:firstLine="709"/>
        <w:contextualSpacing/>
        <w:outlineLvl w:val="1"/>
      </w:pPr>
      <w:r>
        <w:t>6) документальные проверки завершенных операций финансово-хозяйственной деятельности.</w:t>
      </w:r>
    </w:p>
    <w:p w:rsidR="00F06D11" w:rsidRDefault="0038137D">
      <w:pPr>
        <w:ind w:firstLine="709"/>
        <w:contextualSpacing/>
        <w:outlineLvl w:val="1"/>
      </w:pPr>
      <w:r>
        <w:t>13. В рамках внутреннего контроля проводятся плановые и внеплановые проверки.</w:t>
      </w:r>
    </w:p>
    <w:p w:rsidR="00F06D11" w:rsidRDefault="0038137D">
      <w:pPr>
        <w:ind w:firstLine="709"/>
        <w:contextualSpacing/>
        <w:outlineLvl w:val="1"/>
      </w:pPr>
      <w:r>
        <w:t>14. Периодичность проведения проверок:</w:t>
      </w:r>
    </w:p>
    <w:p w:rsidR="00F06D11" w:rsidRDefault="0038137D">
      <w:pPr>
        <w:ind w:firstLine="709"/>
        <w:contextualSpacing/>
        <w:outlineLvl w:val="1"/>
      </w:pPr>
      <w:r>
        <w:t>1) плановые проверки - в соответствии с утвержденным планом (графиком) проведения проверок в рамках внутреннего контроля по форме согласно в приложении к настоящему Порядку;</w:t>
      </w:r>
    </w:p>
    <w:p w:rsidR="00F06D11" w:rsidRDefault="0038137D">
      <w:pPr>
        <w:ind w:firstLine="709"/>
        <w:contextualSpacing/>
        <w:outlineLvl w:val="1"/>
      </w:pPr>
      <w:r>
        <w:t>2) внеплановые проверки - по распоряжению руководителя Исполнительного комитета(если стало известно о возможных нарушениях).</w:t>
      </w:r>
    </w:p>
    <w:p w:rsidR="00F06D11" w:rsidRDefault="0038137D">
      <w:pPr>
        <w:ind w:firstLine="709"/>
        <w:contextualSpacing/>
        <w:outlineLvl w:val="1"/>
      </w:pPr>
      <w:r>
        <w:t>15. Проведения последующего контроля оформляются заключением аудиторских мероприятий, где должны быть отражены:</w:t>
      </w:r>
    </w:p>
    <w:p w:rsidR="00F06D11" w:rsidRDefault="0038137D">
      <w:pPr>
        <w:ind w:firstLine="709"/>
        <w:contextualSpacing/>
        <w:outlineLvl w:val="1"/>
      </w:pPr>
      <w:r>
        <w:t>1) предмет проверки;</w:t>
      </w:r>
    </w:p>
    <w:p w:rsidR="00F06D11" w:rsidRDefault="0038137D">
      <w:pPr>
        <w:ind w:firstLine="709"/>
        <w:contextualSpacing/>
        <w:outlineLvl w:val="1"/>
      </w:pPr>
      <w:r>
        <w:t>2) период проверки;</w:t>
      </w:r>
    </w:p>
    <w:p w:rsidR="00F06D11" w:rsidRDefault="0038137D">
      <w:pPr>
        <w:ind w:firstLine="709"/>
        <w:contextualSpacing/>
        <w:outlineLvl w:val="1"/>
      </w:pPr>
      <w:r>
        <w:t>3) дата утверждения;</w:t>
      </w:r>
    </w:p>
    <w:p w:rsidR="00F06D11" w:rsidRDefault="0038137D">
      <w:pPr>
        <w:ind w:firstLine="709"/>
        <w:contextualSpacing/>
        <w:outlineLvl w:val="1"/>
      </w:pPr>
      <w:r>
        <w:t>4) лица, проводившие проверку;</w:t>
      </w:r>
    </w:p>
    <w:p w:rsidR="00F06D11" w:rsidRDefault="0038137D">
      <w:pPr>
        <w:ind w:firstLine="709"/>
        <w:contextualSpacing/>
        <w:outlineLvl w:val="1"/>
      </w:pPr>
      <w:r>
        <w:t>5) методы и приемы, применяемые в процессе проведения проверки;</w:t>
      </w:r>
    </w:p>
    <w:p w:rsidR="00F06D11" w:rsidRDefault="0038137D">
      <w:pPr>
        <w:ind w:firstLine="709"/>
        <w:contextualSpacing/>
        <w:outlineLvl w:val="1"/>
      </w:pPr>
      <w:r>
        <w:t>6) соответствие предмета проверки нормам законодательства Российской Федерации , действующим на дату совершения факта хозяйственной жизни;</w:t>
      </w:r>
    </w:p>
    <w:p w:rsidR="00F06D11" w:rsidRDefault="0038137D">
      <w:pPr>
        <w:ind w:firstLine="709"/>
        <w:contextualSpacing/>
        <w:outlineLvl w:val="1"/>
      </w:pPr>
      <w:r>
        <w:t>7) выводы, сделанные по результатам проведения проверки;</w:t>
      </w:r>
    </w:p>
    <w:p w:rsidR="00F06D11" w:rsidRDefault="0038137D">
      <w:pPr>
        <w:ind w:firstLine="709"/>
        <w:contextualSpacing/>
        <w:outlineLvl w:val="1"/>
      </w:pPr>
      <w:r>
        <w:t>8) принятые меры и осуществленные мероприятия по устранению недостатков и нарушений, выявленных в ходе последующего контроля, рекомендации по предотвращению возможных ошибок.</w:t>
      </w:r>
    </w:p>
    <w:p w:rsidR="00F06D11" w:rsidRDefault="0038137D">
      <w:pPr>
        <w:ind w:firstLine="709"/>
        <w:contextualSpacing/>
        <w:outlineLvl w:val="1"/>
      </w:pPr>
      <w:r>
        <w:t>16. Должностные лица, допустившие недостатки, искажения и нарушения, в письменной форме представляют объяснения по вопросам, относящимся к результатам проведения контроля.</w:t>
      </w:r>
    </w:p>
    <w:p w:rsidR="00F06D11" w:rsidRDefault="0038137D">
      <w:pPr>
        <w:ind w:firstLine="709"/>
        <w:contextualSpacing/>
        <w:outlineLvl w:val="1"/>
      </w:pPr>
      <w:r>
        <w:t>17. По итогам проверок разрабатывается план мероприятий по устранению выявленных недостатков и нарушений с указанием сроков исполнения и ответственных лиц. План утверждает Руководитель Исполнительного комитета.</w:t>
      </w:r>
    </w:p>
    <w:p w:rsidR="00F06D11" w:rsidRDefault="0038137D">
      <w:pPr>
        <w:ind w:firstLine="709"/>
        <w:contextualSpacing/>
        <w:outlineLvl w:val="1"/>
      </w:pPr>
      <w:r>
        <w:t>18. Итоги внутреннего контроля фиксируются в журнале учета результатов внутреннего контроля, составленном по форме согласно приложению к настоящему Порядку.</w:t>
      </w:r>
    </w:p>
    <w:p w:rsidR="00F06D11" w:rsidRDefault="0038137D">
      <w:pPr>
        <w:spacing w:before="0" w:after="0" w:line="283" w:lineRule="exact"/>
        <w:ind w:firstLine="709"/>
        <w:outlineLvl w:val="1"/>
      </w:pPr>
      <w:r>
        <w:t>19. Ответственность за организацию внутреннего контроля возлагается на начальника отдела бухгалтерского учета и отчетности Исполнительного комитета.</w:t>
      </w:r>
    </w:p>
    <w:p w:rsidR="00F06D11" w:rsidRDefault="00F06D11">
      <w:pPr>
        <w:spacing w:before="0" w:after="0" w:line="283" w:lineRule="exact"/>
        <w:ind w:firstLine="709"/>
        <w:outlineLvl w:val="1"/>
      </w:pPr>
    </w:p>
    <w:p w:rsidR="00F06D11" w:rsidRDefault="0038137D">
      <w:pPr>
        <w:spacing w:before="0" w:after="0" w:line="283" w:lineRule="exact"/>
        <w:ind w:firstLine="709"/>
        <w:outlineLvl w:val="0"/>
      </w:pPr>
      <w:r>
        <w:t xml:space="preserve">                      ГЛАВА 3. Оценка состояния системы внутреннего контроля</w:t>
      </w:r>
    </w:p>
    <w:p w:rsidR="00F06D11" w:rsidRDefault="00F06D11">
      <w:pPr>
        <w:spacing w:before="0" w:after="0" w:line="283" w:lineRule="exact"/>
        <w:ind w:firstLine="709"/>
        <w:outlineLvl w:val="0"/>
      </w:pPr>
    </w:p>
    <w:p w:rsidR="00F06D11" w:rsidRDefault="0038137D">
      <w:pPr>
        <w:spacing w:before="0" w:after="0" w:line="283" w:lineRule="exact"/>
        <w:ind w:firstLine="709"/>
        <w:outlineLvl w:val="1"/>
      </w:pPr>
      <w:r>
        <w:t>20. Данные о выявленных в ходе внутреннего контроля недостатках и (или) нарушениях, сведения об источниках рисков и предлагаемых (реализованных) мерах по их устранению отражаются:</w:t>
      </w:r>
    </w:p>
    <w:p w:rsidR="00F06D11" w:rsidRDefault="0038137D">
      <w:pPr>
        <w:ind w:firstLine="709"/>
        <w:contextualSpacing/>
        <w:outlineLvl w:val="1"/>
      </w:pPr>
      <w:r>
        <w:t>1) в журнале учета результатов внутреннего контроля;</w:t>
      </w:r>
    </w:p>
    <w:p w:rsidR="00F06D11" w:rsidRDefault="0038137D">
      <w:pPr>
        <w:ind w:firstLine="709"/>
        <w:contextualSpacing/>
        <w:outlineLvl w:val="1"/>
      </w:pPr>
      <w:r>
        <w:t>2) отчетах о результатах внутреннего контроля.</w:t>
      </w:r>
    </w:p>
    <w:p w:rsidR="00F06D11" w:rsidRDefault="0038137D">
      <w:pPr>
        <w:ind w:firstLine="709"/>
        <w:contextualSpacing/>
        <w:outlineLvl w:val="1"/>
      </w:pPr>
      <w:r>
        <w:t>21. Отчеты о результатах внутреннего финансового контроля подписываются лицом, ответственным за выполнение внутренних процедур. Эти документы представляются на утверждение Руководителю Исполнительного комитета.</w:t>
      </w:r>
    </w:p>
    <w:p w:rsidR="00F06D11" w:rsidRDefault="0038137D">
      <w:pPr>
        <w:ind w:firstLine="709"/>
        <w:contextualSpacing/>
        <w:outlineLvl w:val="1"/>
      </w:pPr>
      <w:r>
        <w:t>22. К отчетности прилагается пояснительная записка, в которой содержатся:</w:t>
      </w:r>
    </w:p>
    <w:p w:rsidR="00F06D11" w:rsidRDefault="0038137D">
      <w:pPr>
        <w:ind w:firstLine="709"/>
        <w:contextualSpacing/>
        <w:outlineLvl w:val="1"/>
      </w:pPr>
      <w:r>
        <w:t>1) описание нарушений, причин их возникновения, принятых по их устранению мер. Если на момент составления отчета не все нарушения были устранены, указываются принимаемые меры по их устранению. Отражаются сроки и ответственные лица;</w:t>
      </w:r>
    </w:p>
    <w:p w:rsidR="00F06D11" w:rsidRDefault="0038137D">
      <w:pPr>
        <w:ind w:firstLine="709"/>
        <w:contextualSpacing/>
        <w:outlineLvl w:val="1"/>
      </w:pPr>
      <w:r>
        <w:t>2) сведения о привлечении к ответственности лиц, виновных в нарушениях (если такие меры были приняты);</w:t>
      </w:r>
    </w:p>
    <w:p w:rsidR="00F06D11" w:rsidRDefault="0038137D">
      <w:pPr>
        <w:ind w:firstLine="709"/>
        <w:contextualSpacing/>
        <w:outlineLvl w:val="1"/>
        <w:sectPr w:rsidR="00F06D11">
          <w:headerReference w:type="even" r:id="rId178"/>
          <w:headerReference w:type="default" r:id="rId179"/>
          <w:footerReference w:type="even" r:id="rId180"/>
          <w:footerReference w:type="default" r:id="rId181"/>
          <w:headerReference w:type="first" r:id="rId182"/>
          <w:footerReference w:type="first" r:id="rId183"/>
          <w:pgSz w:w="11906" w:h="16838"/>
          <w:pgMar w:top="766" w:right="845" w:bottom="766" w:left="1701" w:header="709" w:footer="709" w:gutter="0"/>
          <w:pgNumType w:start="26"/>
          <w:cols w:space="720"/>
          <w:formProt w:val="0"/>
          <w:titlePg/>
          <w:docGrid w:linePitch="360"/>
        </w:sectPr>
      </w:pPr>
      <w:r>
        <w:t>3) сведения о количестве должностных лиц, которые осуществляют внутренний контроль.</w:t>
      </w:r>
    </w:p>
    <w:p w:rsidR="00F06D11" w:rsidRDefault="0038137D">
      <w:pPr>
        <w:keepNext/>
        <w:keepLines/>
        <w:spacing w:before="0" w:after="0"/>
        <w:ind w:left="10205" w:firstLine="0"/>
        <w:jc w:val="left"/>
      </w:pPr>
      <w:r>
        <w:t xml:space="preserve">Приложение </w:t>
      </w:r>
    </w:p>
    <w:p w:rsidR="00F06D11" w:rsidRDefault="0038137D">
      <w:pPr>
        <w:spacing w:before="0" w:after="0"/>
        <w:ind w:left="10205" w:firstLine="0"/>
        <w:jc w:val="left"/>
      </w:pPr>
      <w:r>
        <w:t xml:space="preserve">к Порядку организации </w:t>
      </w:r>
    </w:p>
    <w:p w:rsidR="00F06D11" w:rsidRDefault="0038137D">
      <w:pPr>
        <w:spacing w:before="0" w:after="0"/>
        <w:ind w:left="10205" w:firstLine="0"/>
        <w:jc w:val="left"/>
      </w:pPr>
      <w:r>
        <w:t>и осуществления внутреннего контроля</w:t>
      </w:r>
    </w:p>
    <w:p w:rsidR="00620920" w:rsidRDefault="00620920">
      <w:pPr>
        <w:spacing w:before="0" w:after="0"/>
        <w:ind w:left="10205" w:firstLine="0"/>
        <w:jc w:val="left"/>
      </w:pPr>
    </w:p>
    <w:p w:rsidR="00F06D11" w:rsidRDefault="00F06D11">
      <w:pPr>
        <w:jc w:val="center"/>
      </w:pPr>
    </w:p>
    <w:p w:rsidR="00F06D11" w:rsidRDefault="00F06D11">
      <w:pPr>
        <w:jc w:val="center"/>
      </w:pPr>
    </w:p>
    <w:p w:rsidR="00F06D11" w:rsidRDefault="0038137D">
      <w:pPr>
        <w:jc w:val="center"/>
        <w:rPr>
          <w:lang w:bidi="ru-RU"/>
        </w:rPr>
      </w:pPr>
      <w:r>
        <w:t xml:space="preserve">Журнал учета результатов внутреннего контроля за </w:t>
      </w:r>
      <w:r>
        <w:rPr>
          <w:u w:val="single"/>
        </w:rPr>
        <w:t>_____(год)</w:t>
      </w:r>
    </w:p>
    <w:tbl>
      <w:tblPr>
        <w:tblW w:w="5000" w:type="pct"/>
        <w:jc w:val="center"/>
        <w:tblLayout w:type="fixed"/>
        <w:tblLook w:val="04A0" w:firstRow="1" w:lastRow="0" w:firstColumn="1" w:lastColumn="0" w:noHBand="0" w:noVBand="1"/>
      </w:tblPr>
      <w:tblGrid>
        <w:gridCol w:w="612"/>
        <w:gridCol w:w="1631"/>
        <w:gridCol w:w="2657"/>
        <w:gridCol w:w="1642"/>
        <w:gridCol w:w="1764"/>
        <w:gridCol w:w="2212"/>
        <w:gridCol w:w="1687"/>
        <w:gridCol w:w="2298"/>
      </w:tblGrid>
      <w:tr w:rsidR="00F06D11">
        <w:trPr>
          <w:jc w:val="center"/>
        </w:trPr>
        <w:tc>
          <w:tcPr>
            <w:tcW w:w="604"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 п/п</w:t>
            </w:r>
          </w:p>
        </w:tc>
        <w:tc>
          <w:tcPr>
            <w:tcW w:w="1606"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Тема проверки (с указанием периода проверки)</w:t>
            </w:r>
          </w:p>
        </w:tc>
        <w:tc>
          <w:tcPr>
            <w:tcW w:w="2617"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Причина проведения проверки (плановая/внеплановая)</w:t>
            </w:r>
          </w:p>
        </w:tc>
        <w:tc>
          <w:tcPr>
            <w:tcW w:w="1617"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Должностное лицо, ответственное за проведение проверки</w:t>
            </w:r>
          </w:p>
        </w:tc>
        <w:tc>
          <w:tcPr>
            <w:tcW w:w="1737"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Перечень выявленных нарушений (недостатков)</w:t>
            </w:r>
          </w:p>
        </w:tc>
        <w:tc>
          <w:tcPr>
            <w:tcW w:w="2179"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Сведения о причинах возникновения нарушений (недостатков), лицах их допустивших</w:t>
            </w:r>
          </w:p>
        </w:tc>
        <w:tc>
          <w:tcPr>
            <w:tcW w:w="1662"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Предлагаемые меры по устранению нарушений (недостатков)</w:t>
            </w:r>
          </w:p>
        </w:tc>
        <w:tc>
          <w:tcPr>
            <w:tcW w:w="2263"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Отметка об устранении</w:t>
            </w:r>
          </w:p>
        </w:tc>
      </w:tr>
      <w:tr w:rsidR="00F06D11">
        <w:trPr>
          <w:jc w:val="center"/>
        </w:trPr>
        <w:tc>
          <w:tcPr>
            <w:tcW w:w="604"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606"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617"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617"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737"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179"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p w:rsidR="00F06D11" w:rsidRDefault="00F06D11">
            <w:pPr>
              <w:keepNext/>
              <w:ind w:firstLine="0"/>
              <w:jc w:val="left"/>
              <w:rPr>
                <w:lang w:bidi="ru-RU"/>
              </w:rPr>
            </w:pPr>
          </w:p>
        </w:tc>
        <w:tc>
          <w:tcPr>
            <w:tcW w:w="1662"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263"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r>
    </w:tbl>
    <w:p w:rsidR="00F06D11" w:rsidRDefault="0038137D">
      <w:pPr>
        <w:jc w:val="center"/>
        <w:sectPr w:rsidR="00F06D11">
          <w:headerReference w:type="even" r:id="rId184"/>
          <w:headerReference w:type="default" r:id="rId185"/>
          <w:footerReference w:type="even" r:id="rId186"/>
          <w:footerReference w:type="default" r:id="rId187"/>
          <w:headerReference w:type="first" r:id="rId188"/>
          <w:footerReference w:type="first" r:id="rId189"/>
          <w:pgSz w:w="16838" w:h="11906" w:orient="landscape"/>
          <w:pgMar w:top="766" w:right="850" w:bottom="720" w:left="1701" w:header="709" w:footer="0" w:gutter="0"/>
          <w:pgNumType w:start="29"/>
          <w:cols w:space="720"/>
          <w:formProt w:val="0"/>
          <w:docGrid w:linePitch="360"/>
        </w:sectPr>
      </w:pPr>
      <w:r>
        <w:rPr>
          <w:i/>
        </w:rPr>
        <w:t> </w:t>
      </w:r>
    </w:p>
    <w:p w:rsidR="00F06D11" w:rsidRDefault="0038137D">
      <w:pPr>
        <w:keepNext/>
        <w:keepLines/>
        <w:spacing w:before="0" w:after="0"/>
        <w:ind w:left="6009" w:firstLine="0"/>
        <w:jc w:val="left"/>
      </w:pPr>
      <w:r>
        <w:t>Приложение № 6</w:t>
      </w:r>
    </w:p>
    <w:p w:rsidR="00F06D11" w:rsidRDefault="0038137D">
      <w:pPr>
        <w:spacing w:before="0" w:after="0"/>
        <w:ind w:left="6009" w:firstLine="0"/>
        <w:jc w:val="left"/>
      </w:pPr>
      <w:r>
        <w:t>к Учетной политике</w:t>
      </w:r>
      <w:r>
        <w:br w:type="textWrapping" w:clear="all"/>
        <w:t xml:space="preserve">Исполнительного комитета </w:t>
      </w:r>
    </w:p>
    <w:p w:rsidR="00F06D11" w:rsidRDefault="0038137D">
      <w:pPr>
        <w:keepNext/>
        <w:keepLines/>
        <w:spacing w:before="0" w:after="0"/>
        <w:ind w:left="6009" w:firstLine="0"/>
        <w:jc w:val="left"/>
      </w:pPr>
      <w:r>
        <w:t>муниципального образования</w:t>
      </w:r>
    </w:p>
    <w:p w:rsidR="00F06D11" w:rsidRDefault="0038137D">
      <w:pPr>
        <w:spacing w:before="0" w:after="0"/>
        <w:ind w:left="6009" w:firstLine="0"/>
        <w:jc w:val="left"/>
      </w:pPr>
      <w:r>
        <w:t>город Набережные Челны</w:t>
      </w:r>
    </w:p>
    <w:p w:rsidR="00F06D11" w:rsidRDefault="00620920">
      <w:pPr>
        <w:spacing w:before="0" w:after="0"/>
        <w:ind w:left="6009" w:firstLine="0"/>
        <w:jc w:val="left"/>
      </w:pPr>
      <w:r w:rsidRPr="00620920">
        <w:rPr>
          <w:rFonts w:eastAsia="Calibri"/>
        </w:rPr>
        <w:t>от «30»_12_2025 №3142-р</w:t>
      </w:r>
    </w:p>
    <w:p w:rsidR="00F06D11" w:rsidRDefault="00F06D11">
      <w:pPr>
        <w:spacing w:before="0" w:after="0"/>
        <w:ind w:left="6009" w:firstLine="0"/>
        <w:jc w:val="left"/>
      </w:pPr>
    </w:p>
    <w:p w:rsidR="00F06D11" w:rsidRDefault="00F06D11">
      <w:pPr>
        <w:spacing w:before="0" w:after="0"/>
        <w:ind w:left="6009" w:firstLine="0"/>
        <w:jc w:val="left"/>
        <w:rPr>
          <w:b/>
          <w:bCs/>
          <w:sz w:val="24"/>
          <w:szCs w:val="24"/>
        </w:rPr>
      </w:pPr>
    </w:p>
    <w:p w:rsidR="00F06D11" w:rsidRDefault="0038137D">
      <w:pPr>
        <w:keepNext/>
        <w:keepLines/>
        <w:spacing w:after="300" w:line="283" w:lineRule="exact"/>
        <w:ind w:firstLine="0"/>
        <w:jc w:val="center"/>
        <w:outlineLvl w:val="0"/>
      </w:pPr>
      <w:r>
        <w:rPr>
          <w:spacing w:val="5"/>
        </w:rPr>
        <w:t>Порядок проведения инвентаризации активов и обязательств</w:t>
      </w:r>
    </w:p>
    <w:p w:rsidR="00F06D11" w:rsidRDefault="0038137D">
      <w:pPr>
        <w:spacing w:line="283" w:lineRule="exact"/>
        <w:ind w:left="482" w:firstLine="0"/>
        <w:jc w:val="center"/>
        <w:outlineLvl w:val="0"/>
      </w:pPr>
      <w:r>
        <w:t>ГЛАВА 1. Организация проведения инвентаризации</w:t>
      </w:r>
    </w:p>
    <w:p w:rsidR="00F06D11" w:rsidRDefault="0038137D">
      <w:pPr>
        <w:spacing w:before="0" w:after="0" w:line="283" w:lineRule="exact"/>
        <w:ind w:firstLine="709"/>
        <w:outlineLvl w:val="1"/>
      </w:pPr>
      <w:r>
        <w:t>1. Целями инвентаризации являются выявление фактического наличия имущества, сопоставление с данными учета и проверка полноты и корректности отражения в учете обязательств.</w:t>
      </w:r>
    </w:p>
    <w:p w:rsidR="00F06D11" w:rsidRDefault="0038137D">
      <w:pPr>
        <w:spacing w:before="0" w:after="0" w:line="283" w:lineRule="exact"/>
        <w:ind w:firstLine="709"/>
        <w:outlineLvl w:val="1"/>
      </w:pPr>
      <w:r>
        <w:t xml:space="preserve">2. Количество инвентаризаций, дата их проведения, перечень активов и финансовых обязательств, проверяемых при каждой из них, устанавливаются отдельным распоряжением Исполнительного комитета, кроме случаев </w:t>
      </w:r>
      <w:hyperlink r:id="rId190" w:tgtFrame="https://cloud.consultant.ru/cloud/cgi/online.cgi?req=doc&amp;amp;base=LAW&amp;amp;n=504848&amp;amp;fld=134&amp;amp;dst=121&amp;amp;date=25.05.2025&amp;amp;last=1">
        <w:r>
          <w:rPr>
            <w:rStyle w:val="af0"/>
            <w:color w:val="auto"/>
            <w:u w:val="none"/>
          </w:rPr>
          <w:t>обязательного проведения инвентаризации</w:t>
        </w:r>
      </w:hyperlink>
      <w:r>
        <w:t>.</w:t>
      </w:r>
    </w:p>
    <w:p w:rsidR="00F06D11" w:rsidRDefault="0038137D">
      <w:pPr>
        <w:spacing w:before="0" w:after="0" w:line="283" w:lineRule="exact"/>
        <w:ind w:firstLine="709"/>
        <w:outlineLvl w:val="1"/>
      </w:pPr>
      <w:r>
        <w:t xml:space="preserve">3. Для составления годовой бюджетной отчетности инвентаризация составляющих муниципальную казну объектов нефинансовых активов путем сверки данных бюджетного учета с данными из реестра муниципальной казны осуществляется не реже чем на отчетную дату (ежегодно). </w:t>
      </w:r>
    </w:p>
    <w:p w:rsidR="00F06D11" w:rsidRDefault="0038137D">
      <w:pPr>
        <w:spacing w:before="0" w:after="0" w:line="283" w:lineRule="exact"/>
        <w:ind w:firstLine="709"/>
        <w:outlineLvl w:val="1"/>
      </w:pPr>
      <w:r>
        <w:t>4. В целях контроля соответствия учетных данных с данными реестра муниципальной казны устанавливается более частая периодичность проведения такой сверки (поквартальную либо на дату формирования бухгалтерских записей на сумму изменения реестра).</w:t>
      </w:r>
    </w:p>
    <w:p w:rsidR="00F06D11" w:rsidRDefault="0038137D">
      <w:pPr>
        <w:spacing w:before="0" w:after="0" w:line="283" w:lineRule="exact"/>
        <w:ind w:firstLine="709"/>
        <w:outlineLvl w:val="1"/>
      </w:pPr>
      <w:r>
        <w:t>5. Для осуществления контроля, обеспечивающего сохранность материальных ценностей и денежных средств, помимо обязательных случаев проведения инвентаризации в течение отчетного периода проводится внеплановая инвентаризация.</w:t>
      </w:r>
    </w:p>
    <w:p w:rsidR="00F06D11" w:rsidRDefault="0038137D">
      <w:pPr>
        <w:spacing w:before="0" w:after="0" w:line="283" w:lineRule="exact"/>
        <w:ind w:firstLine="709"/>
        <w:outlineLvl w:val="1"/>
      </w:pPr>
      <w:r>
        <w:t>6. Распорядительным актом о проведении инвентаризации является Решение о проведении инвентаризации.</w:t>
      </w:r>
    </w:p>
    <w:p w:rsidR="00F06D11" w:rsidRDefault="0038137D">
      <w:pPr>
        <w:spacing w:before="0" w:after="0" w:line="283" w:lineRule="exact"/>
        <w:ind w:firstLine="709"/>
      </w:pPr>
      <w:r>
        <w:t>7. В Решении указываются:</w:t>
      </w:r>
    </w:p>
    <w:p w:rsidR="00F06D11" w:rsidRDefault="0038137D">
      <w:pPr>
        <w:spacing w:before="0" w:after="0" w:line="283" w:lineRule="exact"/>
        <w:ind w:firstLine="709"/>
      </w:pPr>
      <w:r>
        <w:t>1) наименование комиссии;</w:t>
      </w:r>
    </w:p>
    <w:p w:rsidR="00F06D11" w:rsidRDefault="0038137D">
      <w:pPr>
        <w:spacing w:before="0" w:after="0" w:line="283" w:lineRule="exact"/>
        <w:ind w:firstLine="709"/>
      </w:pPr>
      <w:r>
        <w:t>2) ее состав с указанием председателя комиссии, его заместителя и лица, ответственного за оформление документов, подлежащих подписанию членами комиссии (секретаря комиссии).            В случае создания рабочих комиссий определяется также их состав. Ответственным лицом рабочей комиссии указывается один из членов инвентаризационной комиссии, имеющий право голоса при вынесении решения о результатах инвентаризации;</w:t>
      </w:r>
    </w:p>
    <w:p w:rsidR="00F06D11" w:rsidRDefault="0038137D">
      <w:pPr>
        <w:spacing w:before="0" w:after="0" w:line="283" w:lineRule="exact"/>
        <w:ind w:firstLine="709"/>
      </w:pPr>
      <w:r>
        <w:t>3) дата, по состоянию на которую проводится инвентаризация, и сроки ее проведения (даты начала и окончания проведения);</w:t>
      </w:r>
    </w:p>
    <w:p w:rsidR="00F06D11" w:rsidRDefault="0038137D">
      <w:pPr>
        <w:spacing w:before="0" w:after="0" w:line="283" w:lineRule="exact"/>
        <w:ind w:firstLine="709"/>
      </w:pPr>
      <w:r>
        <w:t>4) объекты инвентаризации;</w:t>
      </w:r>
    </w:p>
    <w:p w:rsidR="00F06D11" w:rsidRDefault="0038137D">
      <w:pPr>
        <w:spacing w:before="0" w:after="0" w:line="283" w:lineRule="exact"/>
        <w:ind w:firstLine="709"/>
      </w:pPr>
      <w:r>
        <w:t>5) причины проведения инвентаризации;</w:t>
      </w:r>
    </w:p>
    <w:p w:rsidR="00F06D11" w:rsidRDefault="0038137D">
      <w:pPr>
        <w:spacing w:before="0" w:after="0" w:line="283" w:lineRule="exact"/>
        <w:ind w:firstLine="709"/>
      </w:pPr>
      <w:r>
        <w:t>6) ответственные лица, в отношении которых проводится инвентаризация;</w:t>
      </w:r>
    </w:p>
    <w:p w:rsidR="00F06D11" w:rsidRDefault="0038137D">
      <w:pPr>
        <w:spacing w:before="0" w:after="0" w:line="283" w:lineRule="exact"/>
        <w:ind w:firstLine="709"/>
      </w:pPr>
      <w:r>
        <w:t>7) место проведения инвентаризации.</w:t>
      </w:r>
    </w:p>
    <w:p w:rsidR="00F06D11" w:rsidRDefault="0038137D">
      <w:pPr>
        <w:spacing w:before="0" w:after="0" w:line="283" w:lineRule="exact"/>
        <w:ind w:firstLine="709"/>
        <w:outlineLvl w:val="1"/>
      </w:pPr>
      <w:r>
        <w:t>8. Членами комиссии могут быть должностные лица и специалисты, которые способны оценить состояние имущества и обязательств. Кроме того, в инвентаризационную комиссию могут быть включены специалисты, осуществляющие внутренний контроль.</w:t>
      </w:r>
    </w:p>
    <w:p w:rsidR="00F06D11" w:rsidRDefault="0038137D">
      <w:pPr>
        <w:spacing w:before="0" w:after="0" w:line="283" w:lineRule="exact"/>
        <w:ind w:firstLine="709"/>
      </w:pPr>
      <w:r>
        <w:t>9. Не допускается изменение состава комиссии в период проведения инвентаризации, в том числе если член комиссии отсутствует по не зависящей от него причине (болезнь, отпуск, служебная командировка, смерть и иные объективные причины).</w:t>
      </w:r>
    </w:p>
    <w:p w:rsidR="00F06D11" w:rsidRDefault="0038137D">
      <w:pPr>
        <w:spacing w:before="0" w:after="0" w:line="283" w:lineRule="exact"/>
        <w:ind w:firstLine="709"/>
        <w:outlineLvl w:val="1"/>
      </w:pPr>
      <w:r>
        <w:t>10. Председатель инвентаризационной комиссии перед началом инвентаризации готовит план работы, проводит инструктаж с членами комиссии и организует изучение ими законодательства Российской Федерации, нормативных правовых актов по проведению инвентаризации, организации и ведению учета имущества и обязательств, знакомит членов комиссии с материалами предыдущих инвентаризаций, ревизий и проверок.</w:t>
      </w:r>
    </w:p>
    <w:p w:rsidR="00F06D11" w:rsidRDefault="0038137D">
      <w:pPr>
        <w:spacing w:before="0" w:after="0" w:line="283" w:lineRule="exact"/>
        <w:ind w:firstLine="709"/>
      </w:pPr>
      <w:r>
        <w:t>11. До начала проверки председатель инвентаризационной комиссии (при его отсутствии - заместитель) обязан завизировать последние приходные и расходные документы, отчеты о движении активов, документы-основания для принятия обязательств, не представленные для отражения в учете, и сделать в них запись "До начала проведения инвентаризации на "</w:t>
      </w:r>
      <w:r>
        <w:rPr>
          <w:u w:val="single"/>
        </w:rPr>
        <w:t>        </w:t>
      </w:r>
      <w:r>
        <w:t>"</w:t>
      </w:r>
      <w:r>
        <w:rPr>
          <w:u w:val="single"/>
        </w:rPr>
        <w:t>            </w:t>
      </w:r>
      <w:r>
        <w:t>20</w:t>
      </w:r>
      <w:r>
        <w:rPr>
          <w:u w:val="single"/>
        </w:rPr>
        <w:t>        </w:t>
      </w:r>
      <w:r>
        <w:t>г.". Документы, переданные в электронном виде, вносятся в реестр, который входит в состав документов инвентаризации. После этого должностные лица отражают в регистрах учета указанные документы, определяют остатки инвентаризируемого имущества и обязательств к началу инвентаризации.</w:t>
      </w:r>
    </w:p>
    <w:p w:rsidR="00F06D11" w:rsidRDefault="0038137D">
      <w:pPr>
        <w:spacing w:before="0" w:after="0" w:line="283" w:lineRule="exact"/>
        <w:ind w:firstLine="709"/>
        <w:outlineLvl w:val="1"/>
      </w:pPr>
      <w:r>
        <w:t xml:space="preserve">      12. Материально-ответственные лица в состав инвентаризационной комиссии не входят. Их присутствие при проверке фактического наличия имущества является обязательным.</w:t>
      </w:r>
    </w:p>
    <w:p w:rsidR="00F06D11" w:rsidRDefault="0038137D">
      <w:pPr>
        <w:spacing w:before="0" w:after="0" w:line="283" w:lineRule="exact"/>
        <w:ind w:firstLine="709"/>
      </w:pPr>
      <w:r>
        <w:t>13. С материально-ответственных лиц члены инвентаризационной комиссии обязаны взять расписки в том, что к началу инвентаризации все расходные и приходные документы сданы для отражения в учете или переданы комиссии и все ценности, поступившие на их ответственное хранение, оприходованы, а выбывшие списаны в расход. Аналогичные расписки дают и лица, имеющие подотчетные суммы на приобретение или доверенности на получение имущества.</w:t>
      </w:r>
    </w:p>
    <w:p w:rsidR="00F06D11" w:rsidRDefault="0038137D">
      <w:pPr>
        <w:spacing w:before="0" w:after="0" w:line="283" w:lineRule="exact"/>
        <w:ind w:firstLine="709"/>
      </w:pPr>
      <w:r>
        <w:t>14. В период проведения инвентаризации поступление материальных ценностей и их выдача материально-ответственными лицами осуществляются исключительно в присутствии членов инвентаризационной комиссии.</w:t>
      </w:r>
    </w:p>
    <w:p w:rsidR="00F06D11" w:rsidRDefault="0038137D">
      <w:pPr>
        <w:spacing w:before="0" w:after="0" w:line="283" w:lineRule="exact"/>
        <w:ind w:firstLine="709"/>
        <w:outlineLvl w:val="1"/>
      </w:pPr>
      <w:r>
        <w:t>15. Результаты инвентаризации отражаются в инвентаризационных описях (актах). Инвентаризационная комиссия обеспечивает полноту и точность данных о фактических остатках имущества, правильность и своевременность оформления материалов. Для каждого вида имущества оформляется своя форма инвентаризационной описи.</w:t>
      </w:r>
    </w:p>
    <w:p w:rsidR="00F06D11" w:rsidRDefault="0038137D">
      <w:pPr>
        <w:spacing w:before="0" w:after="0" w:line="283" w:lineRule="exact"/>
        <w:ind w:firstLine="709"/>
        <w:outlineLvl w:val="1"/>
      </w:pPr>
      <w:r>
        <w:t>16. Инвентаризационные описи составляются не менее чем в двух экземплярах отдельно по каждому месту хранения ценностей и ответственным лицам. Указанные документы подписывают все члены инвентаризационной комиссии и материально-ответственные лица. В конце описи материально-ответственные лица делают запись об отсутствии каких-либо претензий к членам комиссии и принятии перечисленного в описи имущества на ответственное хранение. Данная запись также подтверждает проведение проверки имущества в присутствии указанных лиц. Один экземпляр передается для отражения записей в учете, а второй остается уматериально- ответственных лиц.</w:t>
      </w:r>
    </w:p>
    <w:p w:rsidR="00F06D11" w:rsidRDefault="0038137D">
      <w:pPr>
        <w:spacing w:before="0" w:after="0" w:line="283" w:lineRule="exact"/>
        <w:ind w:firstLine="709"/>
        <w:outlineLvl w:val="1"/>
      </w:pPr>
      <w:r>
        <w:t>17. На имущество, которое получено в пользование, находится на ответственном хранении, арендовано, составляются отдельные описи (акты).</w:t>
      </w:r>
    </w:p>
    <w:p w:rsidR="00F06D11" w:rsidRDefault="0038137D">
      <w:pPr>
        <w:spacing w:before="0" w:after="0" w:line="283" w:lineRule="exact"/>
        <w:ind w:firstLine="709"/>
        <w:outlineLvl w:val="1"/>
      </w:pPr>
      <w:r>
        <w:t>18. При инвентаризации имущества казны сведения о фактическом наличии инвентаризируемых объектов учета (реестровые записи об объектах имущества казны из Реестра имущества) записываются комиссией в Инвентаризационные описи (сличительные ведомости) по нефинансовым активам имущества казны.</w:t>
      </w:r>
    </w:p>
    <w:p w:rsidR="00F06D11" w:rsidRDefault="0038137D">
      <w:pPr>
        <w:spacing w:before="0" w:after="0" w:line="283" w:lineRule="exact"/>
        <w:ind w:firstLine="709"/>
        <w:outlineLvl w:val="1"/>
      </w:pPr>
      <w:r>
        <w:t>19. Причины выявленных расхождений (недостач, излишков) и (или) предложения по их устранению указываются в Инвентаризационной описи (сличительной ведомости) по нефинансовым активам имущества казны.</w:t>
      </w:r>
    </w:p>
    <w:p w:rsidR="00F06D11" w:rsidRDefault="0038137D">
      <w:pPr>
        <w:spacing w:before="0" w:after="0" w:line="283" w:lineRule="exact"/>
        <w:ind w:firstLine="709"/>
        <w:outlineLvl w:val="1"/>
      </w:pPr>
      <w:r>
        <w:t>20. Предложения об урегулировании (устранении) выявленных при инвентаризации расхождений данных из реестра имущества и данных бюджетного учета представляются на рассмотрение лицу, принимающему окончательное решение по выявленным фактам расхождений (об уточняющих записях в реестре имущества, уточняющих записях в бюджетном учете или иных решениях).</w:t>
      </w:r>
    </w:p>
    <w:p w:rsidR="00F06D11" w:rsidRDefault="0038137D">
      <w:pPr>
        <w:spacing w:before="0" w:after="0" w:line="283" w:lineRule="exact"/>
        <w:ind w:firstLine="709"/>
        <w:jc w:val="center"/>
        <w:outlineLvl w:val="0"/>
      </w:pPr>
      <w:r>
        <w:t>ГЛАВА 2. Обязанности и права инвентаризационной комиссии и иных лиц при проведении инвентаризации</w:t>
      </w:r>
    </w:p>
    <w:p w:rsidR="00F06D11" w:rsidRDefault="0038137D">
      <w:pPr>
        <w:spacing w:before="0" w:after="0" w:line="283" w:lineRule="exact"/>
        <w:ind w:firstLine="709"/>
        <w:outlineLvl w:val="1"/>
        <w:rPr>
          <w:rFonts w:eastAsia="Calibri"/>
          <w:color w:val="000000"/>
        </w:rPr>
      </w:pPr>
      <w:r>
        <w:t>21. Для проведения инвентаризации имущества и финансовых обязательств, создается комиссия, численный и персональный состав которой утверждается распоряжением Исполнительного комитета:</w:t>
      </w:r>
    </w:p>
    <w:tbl>
      <w:tblPr>
        <w:tblpPr w:rightFromText="180" w:vertAnchor="text" w:horzAnchor="margin" w:tblpX="-109" w:tblpY="374"/>
        <w:tblW w:w="5000" w:type="pct"/>
        <w:tblLayout w:type="fixed"/>
        <w:tblLook w:val="04A0" w:firstRow="1" w:lastRow="0" w:firstColumn="1" w:lastColumn="0" w:noHBand="0" w:noVBand="1"/>
      </w:tblPr>
      <w:tblGrid>
        <w:gridCol w:w="4785"/>
        <w:gridCol w:w="4786"/>
      </w:tblGrid>
      <w:tr w:rsidR="00F06D11">
        <w:tc>
          <w:tcPr>
            <w:tcW w:w="9354" w:type="dxa"/>
            <w:gridSpan w:val="2"/>
            <w:tcBorders>
              <w:top w:val="single" w:sz="4" w:space="0" w:color="000000"/>
              <w:left w:val="single" w:sz="4" w:space="0" w:color="000000"/>
              <w:bottom w:val="single" w:sz="4" w:space="0" w:color="000000"/>
              <w:right w:val="single" w:sz="4" w:space="0" w:color="000000"/>
            </w:tcBorders>
          </w:tcPr>
          <w:p w:rsidR="00F06D11" w:rsidRDefault="0038137D">
            <w:pPr>
              <w:jc w:val="center"/>
            </w:pPr>
            <w:r>
              <w:rPr>
                <w:rFonts w:eastAsia="Calibri"/>
                <w:color w:val="000000"/>
              </w:rPr>
              <w:t>Состав комиссии для проведения инвентаризации</w:t>
            </w:r>
          </w:p>
        </w:tc>
      </w:tr>
      <w:tr w:rsidR="00F06D11">
        <w:tc>
          <w:tcPr>
            <w:tcW w:w="4677" w:type="dxa"/>
            <w:tcBorders>
              <w:top w:val="single" w:sz="4" w:space="0" w:color="000000"/>
              <w:left w:val="single" w:sz="4" w:space="0" w:color="000000"/>
              <w:bottom w:val="single" w:sz="4" w:space="0" w:color="000000"/>
              <w:right w:val="single" w:sz="4" w:space="0" w:color="000000"/>
            </w:tcBorders>
          </w:tcPr>
          <w:p w:rsidR="00F06D11" w:rsidRDefault="0038137D">
            <w:pPr>
              <w:rPr>
                <w:rFonts w:eastAsia="Calibri"/>
                <w:color w:val="000000"/>
              </w:rPr>
            </w:pPr>
            <w:r>
              <w:rPr>
                <w:rFonts w:eastAsia="Calibri"/>
                <w:color w:val="000000"/>
              </w:rPr>
              <w:t>Инвентаризация:</w:t>
            </w:r>
          </w:p>
          <w:p w:rsidR="00F06D11" w:rsidRDefault="0038137D">
            <w:pPr>
              <w:rPr>
                <w:rFonts w:eastAsia="Calibri"/>
                <w:color w:val="000000"/>
              </w:rPr>
            </w:pPr>
            <w:r>
              <w:rPr>
                <w:rFonts w:eastAsia="Calibri"/>
                <w:color w:val="000000"/>
              </w:rPr>
              <w:t xml:space="preserve">- </w:t>
            </w:r>
            <w:r>
              <w:t>имущества</w:t>
            </w:r>
            <w:r>
              <w:rPr>
                <w:rFonts w:eastAsia="Calibri"/>
                <w:color w:val="000000"/>
              </w:rPr>
              <w:t xml:space="preserve"> казны;</w:t>
            </w:r>
          </w:p>
          <w:p w:rsidR="00F06D11" w:rsidRDefault="0038137D">
            <w:pPr>
              <w:rPr>
                <w:rFonts w:eastAsia="Calibri"/>
                <w:color w:val="000000"/>
              </w:rPr>
            </w:pPr>
            <w:r>
              <w:rPr>
                <w:rFonts w:eastAsia="Calibri"/>
                <w:color w:val="000000"/>
              </w:rPr>
              <w:t>- непроизведенных активов</w:t>
            </w:r>
          </w:p>
          <w:p w:rsidR="00F06D11" w:rsidRDefault="0038137D">
            <w:r>
              <w:rPr>
                <w:rFonts w:eastAsia="Calibri"/>
                <w:color w:val="000000"/>
              </w:rPr>
              <w:t>- финансовых и нефинансовых активов, обязательств</w:t>
            </w:r>
          </w:p>
        </w:tc>
        <w:tc>
          <w:tcPr>
            <w:tcW w:w="4677" w:type="dxa"/>
            <w:tcBorders>
              <w:top w:val="single" w:sz="4" w:space="0" w:color="000000"/>
              <w:left w:val="single" w:sz="4" w:space="0" w:color="000000"/>
              <w:bottom w:val="single" w:sz="4" w:space="0" w:color="000000"/>
              <w:right w:val="single" w:sz="4" w:space="0" w:color="000000"/>
            </w:tcBorders>
          </w:tcPr>
          <w:p w:rsidR="00F06D11" w:rsidRDefault="0038137D">
            <w:r>
              <w:rPr>
                <w:rFonts w:eastAsia="Calibri"/>
                <w:color w:val="000000"/>
              </w:rPr>
              <w:t>согласно распоряжению Исполнительного комитета в состав инвентаризационной комиссии входят муниципальные служащие управлений, осуществляющие администрирование доходов</w:t>
            </w:r>
          </w:p>
        </w:tc>
      </w:tr>
      <w:tr w:rsidR="00F06D11">
        <w:tc>
          <w:tcPr>
            <w:tcW w:w="4677" w:type="dxa"/>
            <w:tcBorders>
              <w:top w:val="single" w:sz="4" w:space="0" w:color="000000"/>
              <w:left w:val="single" w:sz="4" w:space="0" w:color="000000"/>
              <w:bottom w:val="single" w:sz="4" w:space="0" w:color="000000"/>
              <w:right w:val="single" w:sz="4" w:space="0" w:color="000000"/>
            </w:tcBorders>
          </w:tcPr>
          <w:p w:rsidR="00F06D11" w:rsidRDefault="0038137D">
            <w:r>
              <w:rPr>
                <w:rFonts w:eastAsia="Calibri"/>
                <w:color w:val="000000"/>
              </w:rPr>
              <w:t>Незавершенное строительство</w:t>
            </w:r>
          </w:p>
        </w:tc>
        <w:tc>
          <w:tcPr>
            <w:tcW w:w="4677" w:type="dxa"/>
            <w:tcBorders>
              <w:top w:val="single" w:sz="4" w:space="0" w:color="000000"/>
              <w:left w:val="single" w:sz="4" w:space="0" w:color="000000"/>
              <w:bottom w:val="single" w:sz="4" w:space="0" w:color="000000"/>
              <w:right w:val="single" w:sz="4" w:space="0" w:color="000000"/>
            </w:tcBorders>
          </w:tcPr>
          <w:p w:rsidR="00F06D11" w:rsidRDefault="0038137D">
            <w:r>
              <w:rPr>
                <w:rFonts w:eastAsia="Calibri"/>
                <w:color w:val="000000"/>
              </w:rPr>
              <w:t>согласно распоряжению Исполнительного комитета, в состав инвентаризационной комиссии входят муниципальные служащие управления архитектуры, градостроительного и жилищного развития и управления городского хозяйства и жизнеобеспечения населения.</w:t>
            </w:r>
          </w:p>
        </w:tc>
      </w:tr>
    </w:tbl>
    <w:p w:rsidR="00F06D11" w:rsidRDefault="0038137D">
      <w:pPr>
        <w:spacing w:before="0" w:after="0" w:line="283" w:lineRule="exact"/>
        <w:ind w:firstLine="709"/>
        <w:outlineLvl w:val="1"/>
      </w:pPr>
      <w:r>
        <w:t>22. В целях обеспечения соответствия данных бухгалтерского учета фактическим данным инвентаризация также проводится в следующих случаях:</w:t>
      </w:r>
    </w:p>
    <w:p w:rsidR="00F06D11" w:rsidRDefault="0038137D">
      <w:pPr>
        <w:spacing w:before="0" w:after="0" w:line="283" w:lineRule="exact"/>
        <w:ind w:firstLine="709"/>
        <w:outlineLvl w:val="0"/>
      </w:pPr>
      <w:r>
        <w:t>1) при смене материально-ответственных лиц на день приема-передачи основных средств и товарно-материальных ценностей;</w:t>
      </w:r>
    </w:p>
    <w:p w:rsidR="00F06D11" w:rsidRDefault="0038137D">
      <w:pPr>
        <w:spacing w:before="0" w:after="0" w:line="283" w:lineRule="exact"/>
        <w:ind w:firstLine="709"/>
        <w:outlineLvl w:val="0"/>
      </w:pPr>
      <w:r>
        <w:t xml:space="preserve">2) при установлении фактов хищения и злоупотребления, а также порчи основных средств и товарно-материальных ценностей и в других случаях, предусмотренных законодательством Российской Федерации, Республики Татарстан. </w:t>
      </w:r>
    </w:p>
    <w:p w:rsidR="00F06D11" w:rsidRDefault="0038137D">
      <w:pPr>
        <w:spacing w:before="0" w:after="0" w:line="283" w:lineRule="exact"/>
        <w:ind w:firstLine="709"/>
        <w:outlineLvl w:val="0"/>
      </w:pPr>
      <w:r>
        <w:t>23. Председатель комиссии обязан:</w:t>
      </w:r>
    </w:p>
    <w:p w:rsidR="00F06D11" w:rsidRDefault="0038137D">
      <w:pPr>
        <w:spacing w:before="0" w:after="0" w:line="283" w:lineRule="exact"/>
        <w:ind w:firstLine="709"/>
      </w:pPr>
      <w:r>
        <w:t>1) быть принципиальным, соблюдать профессиональную этику и конфиденциальность;</w:t>
      </w:r>
    </w:p>
    <w:p w:rsidR="00F06D11" w:rsidRDefault="0038137D">
      <w:pPr>
        <w:spacing w:before="0" w:after="0" w:line="283" w:lineRule="exact"/>
        <w:ind w:firstLine="709"/>
      </w:pPr>
      <w:r>
        <w:t>2) определять методы и способы инвентаризации;</w:t>
      </w:r>
    </w:p>
    <w:p w:rsidR="00F06D11" w:rsidRDefault="0038137D">
      <w:pPr>
        <w:spacing w:before="0" w:after="0" w:line="283" w:lineRule="exact"/>
        <w:ind w:firstLine="709"/>
      </w:pPr>
      <w:r>
        <w:t>3) распределять направления проведения инвентаризации между членами комиссии;</w:t>
      </w:r>
    </w:p>
    <w:p w:rsidR="00F06D11" w:rsidRDefault="0038137D">
      <w:pPr>
        <w:spacing w:before="0" w:after="0" w:line="283" w:lineRule="exact"/>
        <w:ind w:firstLine="709"/>
      </w:pPr>
      <w:r>
        <w:t>4) организовывать проведение инвентаризации согласно утвержденному плану (программе);</w:t>
      </w:r>
    </w:p>
    <w:p w:rsidR="00F06D11" w:rsidRDefault="0038137D">
      <w:pPr>
        <w:spacing w:before="0" w:after="0" w:line="283" w:lineRule="exact"/>
        <w:ind w:firstLine="709"/>
      </w:pPr>
      <w:r>
        <w:t>5) осуществлять общее руководство членами комиссии в процессе инвентаризации;</w:t>
      </w:r>
    </w:p>
    <w:p w:rsidR="00F06D11" w:rsidRDefault="0038137D">
      <w:pPr>
        <w:spacing w:before="0" w:after="0" w:line="283" w:lineRule="exact"/>
        <w:ind w:firstLine="709"/>
      </w:pPr>
      <w:r>
        <w:t>6) обеспечивать сохранность полученных документов, отчетов и других материалов, проверяемых в ходе инвентаризации.</w:t>
      </w:r>
    </w:p>
    <w:p w:rsidR="00F06D11" w:rsidRDefault="0038137D">
      <w:pPr>
        <w:spacing w:before="0" w:after="0" w:line="283" w:lineRule="exact"/>
        <w:ind w:firstLine="709"/>
        <w:outlineLvl w:val="1"/>
      </w:pPr>
      <w:r>
        <w:t>24. Председатель комиссии имеет право:</w:t>
      </w:r>
    </w:p>
    <w:p w:rsidR="00F06D11" w:rsidRDefault="0038137D">
      <w:pPr>
        <w:spacing w:before="0" w:after="0" w:line="283" w:lineRule="exact"/>
        <w:ind w:firstLine="709"/>
      </w:pPr>
      <w:r>
        <w:t>1) проходить во все здания и помещения, занимаемые объектом инвентаризации, с учетом ограничений, установленных законодательством Российской Федерации и Республики Татарстан;</w:t>
      </w:r>
    </w:p>
    <w:p w:rsidR="00F06D11" w:rsidRDefault="0038137D">
      <w:pPr>
        <w:spacing w:before="0" w:after="0" w:line="283" w:lineRule="exact"/>
        <w:ind w:firstLine="709"/>
      </w:pPr>
      <w:r>
        <w:t>2) давать указания должностным лицам о предоставлении комиссии необходимых для проверки документов и сведений (информации);</w:t>
      </w:r>
    </w:p>
    <w:p w:rsidR="00F06D11" w:rsidRDefault="0038137D">
      <w:pPr>
        <w:spacing w:before="0" w:after="0" w:line="283" w:lineRule="exact"/>
        <w:ind w:firstLine="709"/>
      </w:pPr>
      <w:r>
        <w:t>3) получать от должностных и ответственных лиц письменные объяснения по вопросам, возникающим в ходе проведения инвентаризации, копии документов, связанных с осуществлением финансовых, хозяйственных операций объекта инвентаризации;</w:t>
      </w:r>
    </w:p>
    <w:p w:rsidR="00F06D11" w:rsidRDefault="0038137D">
      <w:pPr>
        <w:spacing w:before="0" w:after="0" w:line="283" w:lineRule="exact"/>
        <w:ind w:firstLine="709"/>
      </w:pPr>
      <w:r>
        <w:t>4) назначать даты заседания комиссии в пределах срока проведения инвентаризации;</w:t>
      </w:r>
    </w:p>
    <w:p w:rsidR="00F06D11" w:rsidRDefault="0038137D">
      <w:pPr>
        <w:spacing w:before="0" w:after="0" w:line="283" w:lineRule="exact"/>
        <w:ind w:firstLine="709"/>
      </w:pPr>
      <w:r>
        <w:t>5) по согласованию с руководителем Исполнительного комитета привлекать должностных лиц к проведению инвентаризации;</w:t>
      </w:r>
    </w:p>
    <w:p w:rsidR="00F06D11" w:rsidRDefault="0038137D">
      <w:pPr>
        <w:spacing w:before="0" w:after="0" w:line="283" w:lineRule="exact"/>
        <w:ind w:firstLine="709"/>
      </w:pPr>
      <w:r>
        <w:t>6) вносить предложения об устранении выявленных в ходе проведения инвентаризации нарушений и недостатков.</w:t>
      </w:r>
    </w:p>
    <w:p w:rsidR="00F06D11" w:rsidRDefault="0038137D">
      <w:pPr>
        <w:spacing w:before="0" w:after="0" w:line="283" w:lineRule="exact"/>
        <w:ind w:firstLine="709"/>
        <w:outlineLvl w:val="1"/>
      </w:pPr>
      <w:r>
        <w:t>25. Члены комиссии обязаны:</w:t>
      </w:r>
    </w:p>
    <w:p w:rsidR="00F06D11" w:rsidRDefault="0038137D">
      <w:pPr>
        <w:spacing w:before="0" w:after="0" w:line="283" w:lineRule="exact"/>
        <w:ind w:firstLine="709"/>
      </w:pPr>
      <w:r>
        <w:t>1) быть принципиальными, соблюдать профессиональную этику и конфиденциальность;</w:t>
      </w:r>
    </w:p>
    <w:p w:rsidR="00F06D11" w:rsidRDefault="0038137D">
      <w:pPr>
        <w:spacing w:before="0" w:after="0" w:line="283" w:lineRule="exact"/>
        <w:ind w:firstLine="709"/>
      </w:pPr>
      <w:r>
        <w:t>2) проводить инвентаризацию в соответствии с утвержденным планом (программой);</w:t>
      </w:r>
    </w:p>
    <w:p w:rsidR="00F06D11" w:rsidRDefault="0038137D">
      <w:pPr>
        <w:spacing w:before="0" w:after="0" w:line="283" w:lineRule="exact"/>
        <w:ind w:firstLine="709"/>
      </w:pPr>
      <w:r>
        <w:t>3) незамедлительно докладывать председателю комиссии о выявленных в процессе инвентаризации нарушениях и злоупотреблениях;</w:t>
      </w:r>
    </w:p>
    <w:p w:rsidR="00F06D11" w:rsidRDefault="0038137D">
      <w:pPr>
        <w:spacing w:before="0" w:after="0" w:line="283" w:lineRule="exact"/>
        <w:ind w:firstLine="709"/>
      </w:pPr>
      <w:r>
        <w:t>4) обеспечивать сохранность полученных документов, отчетов и других материалов, проверяемых в ходе инвентаризации;</w:t>
      </w:r>
    </w:p>
    <w:p w:rsidR="00F06D11" w:rsidRDefault="0038137D">
      <w:pPr>
        <w:spacing w:before="0" w:after="0" w:line="283" w:lineRule="exact"/>
        <w:ind w:firstLine="709"/>
      </w:pPr>
      <w:r>
        <w:t>5) при невозможности участия в заседании комиссии извещать об этом секретаря комиссии до начала мероприятия.</w:t>
      </w:r>
    </w:p>
    <w:p w:rsidR="00F06D11" w:rsidRDefault="0038137D">
      <w:pPr>
        <w:spacing w:before="0" w:after="0" w:line="283" w:lineRule="exact"/>
        <w:ind w:firstLine="709"/>
        <w:outlineLvl w:val="1"/>
      </w:pPr>
      <w:r>
        <w:t>26. Члены комиссии имеют право:</w:t>
      </w:r>
    </w:p>
    <w:p w:rsidR="00F06D11" w:rsidRDefault="0038137D">
      <w:pPr>
        <w:spacing w:before="0" w:after="0" w:line="283" w:lineRule="exact"/>
        <w:ind w:firstLine="709"/>
      </w:pPr>
      <w:r>
        <w:t>1) проходить во все здания и помещения, занимаемые объектом инвентаризации, с учетом ограничений, установленных законодательством Российской Федерации и Республики Татарстан;</w:t>
      </w:r>
    </w:p>
    <w:p w:rsidR="00F06D11" w:rsidRDefault="0038137D">
      <w:pPr>
        <w:spacing w:before="0" w:after="0" w:line="283" w:lineRule="exact"/>
        <w:ind w:firstLine="709"/>
      </w:pPr>
      <w:r>
        <w:t>2) ходатайствовать перед председателем комиссии о предоставлении им необходимых для проверки документов и сведений (информации).</w:t>
      </w:r>
    </w:p>
    <w:p w:rsidR="00F06D11" w:rsidRDefault="0038137D">
      <w:pPr>
        <w:spacing w:before="0" w:after="0" w:line="283" w:lineRule="exact"/>
        <w:ind w:firstLine="709"/>
        <w:outlineLvl w:val="1"/>
      </w:pPr>
      <w:r>
        <w:t>27. Проверяемые должностные лица в процессе контрольных мероприятий обязаны:</w:t>
      </w:r>
    </w:p>
    <w:p w:rsidR="00F06D11" w:rsidRDefault="0038137D">
      <w:pPr>
        <w:spacing w:before="0" w:after="0" w:line="283" w:lineRule="exact"/>
        <w:ind w:firstLine="709"/>
      </w:pPr>
      <w:r>
        <w:t>1) предоставить инвентаризационной комиссии оборудованное персональным компьютером помещение, позволяющее обеспечить сохранность переданных документов;</w:t>
      </w:r>
    </w:p>
    <w:p w:rsidR="00F06D11" w:rsidRDefault="0038137D">
      <w:pPr>
        <w:spacing w:before="0" w:after="0" w:line="283" w:lineRule="exact"/>
        <w:ind w:firstLine="709"/>
      </w:pPr>
      <w:r>
        <w:t>2) оказывать содействие в проведении инвентаризации;</w:t>
      </w:r>
    </w:p>
    <w:p w:rsidR="00F06D11" w:rsidRDefault="0038137D">
      <w:pPr>
        <w:spacing w:before="0" w:after="0" w:line="283" w:lineRule="exact"/>
        <w:ind w:firstLine="709"/>
      </w:pPr>
      <w:r>
        <w:t>3) представлять по требованию председателя комиссии и в установленные им сроки документы, необходимые для проверки;</w:t>
      </w:r>
    </w:p>
    <w:p w:rsidR="00F06D11" w:rsidRDefault="0038137D">
      <w:pPr>
        <w:spacing w:before="0" w:after="0" w:line="283" w:lineRule="exact"/>
        <w:ind w:firstLine="709"/>
      </w:pPr>
      <w:r>
        <w:t>4) давать справки и объяснения в устной и письменной форме по вопросам, возникающим в ходе проведения инвентаризации.</w:t>
      </w:r>
    </w:p>
    <w:p w:rsidR="00F06D11" w:rsidRDefault="0038137D">
      <w:pPr>
        <w:spacing w:before="0" w:after="0" w:line="283" w:lineRule="exact"/>
        <w:ind w:firstLine="709"/>
        <w:outlineLvl w:val="1"/>
      </w:pPr>
      <w:r>
        <w:t>28. Инвентаризационная комиссия несет ответственность за качественное проведение инвентаризации в соответствии с законодательством Российской Федерации.</w:t>
      </w:r>
    </w:p>
    <w:p w:rsidR="00F06D11" w:rsidRDefault="0038137D">
      <w:pPr>
        <w:spacing w:before="0" w:after="0" w:line="283" w:lineRule="exact"/>
        <w:ind w:firstLine="709"/>
        <w:outlineLvl w:val="1"/>
      </w:pPr>
      <w:r>
        <w:t>29. Члены комиссии освобождаются от выполнения своих функциональных обязанностей по основной занимаемой должности на весь срок проведения инвентаризации.</w:t>
      </w:r>
    </w:p>
    <w:p w:rsidR="00F06D11" w:rsidRDefault="0038137D">
      <w:pPr>
        <w:spacing w:before="0" w:after="0" w:line="283" w:lineRule="exact"/>
        <w:ind w:firstLine="709"/>
        <w:outlineLvl w:val="1"/>
      </w:pPr>
      <w:r>
        <w:t>30. Заседание инвентаризационной комиссии считается правомочным, если в нем приняло участие не менее двух третей состава ее участников, имеющих право голоса. В случае равенства голосов определяющим является голос председателя комиссии, а при его отсутствии - голос его заместителя.</w:t>
      </w:r>
    </w:p>
    <w:p w:rsidR="00F06D11" w:rsidRDefault="00F06D11">
      <w:pPr>
        <w:spacing w:before="0" w:after="0" w:line="283" w:lineRule="exact"/>
        <w:ind w:firstLine="709"/>
        <w:outlineLvl w:val="1"/>
      </w:pPr>
    </w:p>
    <w:p w:rsidR="00F06D11" w:rsidRDefault="0038137D">
      <w:pPr>
        <w:spacing w:before="0" w:after="0" w:line="283" w:lineRule="exact"/>
        <w:ind w:firstLine="709"/>
        <w:jc w:val="center"/>
        <w:outlineLvl w:val="0"/>
      </w:pPr>
      <w:r>
        <w:t>ГЛАВА 3. Имущество и обязательства, подлежащие инвентаризации</w:t>
      </w:r>
    </w:p>
    <w:p w:rsidR="00F06D11" w:rsidRDefault="00F06D11">
      <w:pPr>
        <w:spacing w:before="0" w:after="0" w:line="283" w:lineRule="exact"/>
        <w:ind w:firstLine="709"/>
        <w:jc w:val="center"/>
        <w:outlineLvl w:val="0"/>
      </w:pPr>
    </w:p>
    <w:p w:rsidR="00F06D11" w:rsidRDefault="0038137D">
      <w:pPr>
        <w:spacing w:before="0" w:after="0" w:line="283" w:lineRule="exact"/>
        <w:ind w:firstLine="709"/>
        <w:outlineLvl w:val="1"/>
      </w:pPr>
      <w:r>
        <w:t>31. Инвентаризации подлежит все имущество независимо от его местонахождения, а также все виды обязательств, в том числе:</w:t>
      </w:r>
    </w:p>
    <w:p w:rsidR="00F06D11" w:rsidRDefault="0038137D">
      <w:pPr>
        <w:spacing w:before="0" w:after="0" w:line="283" w:lineRule="exact"/>
        <w:ind w:firstLine="709"/>
      </w:pPr>
      <w:r>
        <w:t>1) имущество и обязательства, учтенные на балансовых счетах;</w:t>
      </w:r>
    </w:p>
    <w:p w:rsidR="00F06D11" w:rsidRDefault="0038137D">
      <w:pPr>
        <w:spacing w:before="0" w:after="0" w:line="283" w:lineRule="exact"/>
        <w:ind w:firstLine="709"/>
      </w:pPr>
      <w:r>
        <w:t>2) имущество, учтенное на забалансовых счетах;</w:t>
      </w:r>
    </w:p>
    <w:p w:rsidR="00F06D11" w:rsidRDefault="0038137D">
      <w:pPr>
        <w:spacing w:before="0" w:after="0" w:line="283" w:lineRule="exact"/>
        <w:ind w:firstLine="709"/>
      </w:pPr>
      <w:r>
        <w:t>3) другое имущество и обязательства в соответствии с решением об инвентаризации.</w:t>
      </w:r>
    </w:p>
    <w:p w:rsidR="00F06D11" w:rsidRDefault="0038137D">
      <w:pPr>
        <w:spacing w:before="0" w:after="0" w:line="283" w:lineRule="exact"/>
        <w:ind w:firstLine="709"/>
      </w:pPr>
      <w:r>
        <w:t>32. Фактически наличествующее имущество, не учтенное по каким-либо причинам, подлежит принятию к учету.</w:t>
      </w:r>
    </w:p>
    <w:p w:rsidR="00F06D11" w:rsidRDefault="00F06D11">
      <w:pPr>
        <w:spacing w:before="0" w:after="0" w:line="283" w:lineRule="exact"/>
        <w:ind w:firstLine="709"/>
      </w:pPr>
    </w:p>
    <w:p w:rsidR="00F06D11" w:rsidRDefault="0038137D">
      <w:pPr>
        <w:spacing w:before="0" w:after="0" w:line="283" w:lineRule="exact"/>
        <w:ind w:firstLine="709"/>
        <w:jc w:val="center"/>
        <w:outlineLvl w:val="0"/>
      </w:pPr>
      <w:r>
        <w:t>ГЛАВА 4. Способы (методы) проведения инвентаризации</w:t>
      </w:r>
    </w:p>
    <w:p w:rsidR="00F06D11" w:rsidRDefault="00F06D11">
      <w:pPr>
        <w:spacing w:before="0" w:after="0" w:line="283" w:lineRule="exact"/>
        <w:ind w:firstLine="709"/>
        <w:jc w:val="center"/>
        <w:outlineLvl w:val="0"/>
      </w:pPr>
    </w:p>
    <w:p w:rsidR="00F06D11" w:rsidRDefault="0038137D">
      <w:pPr>
        <w:spacing w:before="0" w:after="0" w:line="283" w:lineRule="exact"/>
        <w:ind w:firstLine="709"/>
        <w:outlineLvl w:val="1"/>
      </w:pPr>
      <w:r>
        <w:t>34. Инвентаризация материальных ценностей проводится путем подсчета, взвешивания, обмера, осмотра (далее - методы осмотра). Материальные ценности, хранящиеся в невскрытой таре, проверяются на основании записей на упаковке с выборочным вскрытием. Оно осуществляется таким образом, чтобы обеспечить при проверке максимальный охват номенклатуры имущества. Долю упаковок, подлежащих выборочной проверке, устанавливает председатель комиссии.</w:t>
      </w:r>
    </w:p>
    <w:p w:rsidR="00F06D11" w:rsidRDefault="0038137D">
      <w:pPr>
        <w:spacing w:before="0" w:after="0" w:line="283" w:lineRule="exact"/>
        <w:ind w:firstLine="709"/>
        <w:outlineLvl w:val="1"/>
      </w:pPr>
      <w:r>
        <w:t>34. Навалочные (наливные) материальные ценности измеряются путем замеров и технических расчетов. Расчеты и акты замеров прилагаются к акту о результатах инвентаризации.</w:t>
      </w:r>
    </w:p>
    <w:p w:rsidR="00F06D11" w:rsidRDefault="0038137D">
      <w:pPr>
        <w:spacing w:before="0" w:after="0" w:line="283" w:lineRule="exact"/>
        <w:ind w:firstLine="709"/>
        <w:outlineLvl w:val="1"/>
      </w:pPr>
      <w:r>
        <w:t>35. Если для оценки фактического объема материальных ценностей невозможно применить методы осмотра или их применение невозможно без существенных затрат, применяются видео- и фотофиксация или иные способы, позволяющие произвести оценку.</w:t>
      </w:r>
    </w:p>
    <w:p w:rsidR="00F06D11" w:rsidRDefault="0038137D">
      <w:pPr>
        <w:spacing w:before="0" w:after="0" w:line="283" w:lineRule="exact"/>
        <w:ind w:firstLine="709"/>
        <w:outlineLvl w:val="1"/>
      </w:pPr>
      <w:r>
        <w:t>36. Порядок инвентаризации материальных ценностей, для которых установлены особые условия хранения, определяется отдельным локальным актом.</w:t>
      </w:r>
    </w:p>
    <w:p w:rsidR="00F06D11" w:rsidRDefault="0038137D">
      <w:pPr>
        <w:spacing w:before="0" w:after="0" w:line="283" w:lineRule="exact"/>
        <w:ind w:firstLine="709"/>
        <w:outlineLvl w:val="1"/>
      </w:pPr>
      <w:r>
        <w:t>37. Инвентаризация активов и обязательств, не имеющих вещественной формы (нематериальных активов, прав пользования активом, безналичных денежных средств и т.д.), проводится путем проверки документов, подтверждающих наличие этих активов и обязательств на дату проведения инвентаризации.</w:t>
      </w:r>
    </w:p>
    <w:p w:rsidR="00F06D11" w:rsidRDefault="0038137D">
      <w:pPr>
        <w:spacing w:before="0" w:after="0" w:line="283" w:lineRule="exact"/>
        <w:ind w:firstLine="709"/>
        <w:outlineLvl w:val="1"/>
      </w:pPr>
      <w:r>
        <w:t>38 .Инвентаризация дебиторской, кредиторской задолженности, учитываемой по группе плательщиков (кредиторов), обеспечивается посредством сверки персонифицированных данных управленческого учета и данных об объектах учета, отраженных на балансовых счетах рабочего плана счетов по группам плательщиков (кредиторов).</w:t>
      </w:r>
    </w:p>
    <w:p w:rsidR="00F06D11" w:rsidRDefault="00F06D11">
      <w:pPr>
        <w:spacing w:before="0" w:after="0" w:line="283" w:lineRule="exact"/>
        <w:ind w:firstLine="709"/>
        <w:outlineLvl w:val="1"/>
      </w:pPr>
    </w:p>
    <w:p w:rsidR="00F06D11" w:rsidRDefault="0038137D">
      <w:pPr>
        <w:spacing w:before="0" w:after="0" w:line="283" w:lineRule="exact"/>
        <w:ind w:firstLine="709"/>
        <w:jc w:val="center"/>
        <w:outlineLvl w:val="0"/>
      </w:pPr>
      <w:r>
        <w:t>ГЛАВА 5. Оформление результатов инвентаризации и регулирование выявленных расхождений</w:t>
      </w:r>
    </w:p>
    <w:p w:rsidR="00F06D11" w:rsidRDefault="00F06D11">
      <w:pPr>
        <w:spacing w:before="0" w:after="0" w:line="283" w:lineRule="exact"/>
        <w:ind w:firstLine="709"/>
        <w:jc w:val="center"/>
        <w:outlineLvl w:val="0"/>
      </w:pPr>
    </w:p>
    <w:p w:rsidR="00F06D11" w:rsidRDefault="0038137D">
      <w:pPr>
        <w:spacing w:before="0" w:after="0" w:line="283" w:lineRule="exact"/>
        <w:ind w:firstLine="709"/>
        <w:outlineLvl w:val="1"/>
      </w:pPr>
      <w:r>
        <w:t>39. На основании инвентаризационных описей, по которым выявлено несоответствие фактического наличия финансовых и нефинансовых активов, иного имущества и обязательств данным учета, составляются Ведомости расхождений по результатам инвентаризации. В них фиксируются установленные расхождения с данными учета: недостачи и излишки по каждому объекту учета в количественном и стоимостном выражении. Ценности, не принадлежащие на праве оперативного управления, но числящиеся в учете на забалансовых счетах, вносятся в отдельную ведомость.</w:t>
      </w:r>
    </w:p>
    <w:p w:rsidR="00F06D11" w:rsidRDefault="0038137D">
      <w:pPr>
        <w:spacing w:before="0" w:after="0" w:line="283" w:lineRule="exact"/>
        <w:ind w:firstLine="709"/>
        <w:outlineLvl w:val="1"/>
      </w:pPr>
      <w:r>
        <w:t>40. По всем недостачам и излишкам, пересортице инвентаризационная комиссия получает письменные объяснения ответственных лиц, что должно быть отражено в инвентаризационных описях. На основании представленных объяснений и материалов проверок инвентаризационная комиссия определяет причины и характер выявленных отклонений от данных учета.</w:t>
      </w:r>
    </w:p>
    <w:p w:rsidR="00F06D11" w:rsidRDefault="0038137D">
      <w:pPr>
        <w:spacing w:before="0" w:after="0" w:line="283" w:lineRule="exact"/>
        <w:ind w:firstLine="709"/>
        <w:outlineLvl w:val="1"/>
      </w:pPr>
      <w:r>
        <w:t>41. По результатам инвентаризации председатель инвентаризационной комиссии готовит для руководителя Исполнительного комитета предложения:</w:t>
      </w:r>
    </w:p>
    <w:p w:rsidR="00F06D11" w:rsidRDefault="0038137D">
      <w:pPr>
        <w:spacing w:before="0" w:after="0" w:line="283" w:lineRule="exact"/>
        <w:ind w:firstLine="709"/>
      </w:pPr>
      <w:r>
        <w:t>1) по отнесению недостач имущества, а также имущества, пришедшего в негодность, за счет виновных лиц либо по списанию;</w:t>
      </w:r>
    </w:p>
    <w:p w:rsidR="00F06D11" w:rsidRDefault="0038137D">
      <w:pPr>
        <w:spacing w:before="0" w:after="0" w:line="283" w:lineRule="exact"/>
        <w:ind w:firstLine="709"/>
      </w:pPr>
      <w:r>
        <w:t>2) оприходованию излишков;</w:t>
      </w:r>
    </w:p>
    <w:p w:rsidR="00F06D11" w:rsidRDefault="0038137D">
      <w:pPr>
        <w:spacing w:before="0" w:after="0" w:line="283" w:lineRule="exact"/>
        <w:ind w:firstLine="709"/>
      </w:pPr>
      <w:r>
        <w:t>3) необходимости создания (корректировки) и определения величин оценочных резервов в случаях, установленных нормативными актами и (или) Учетной политикой;</w:t>
      </w:r>
    </w:p>
    <w:p w:rsidR="00F06D11" w:rsidRDefault="0038137D">
      <w:pPr>
        <w:spacing w:before="0" w:after="0" w:line="283" w:lineRule="exact"/>
        <w:ind w:firstLine="709"/>
      </w:pPr>
      <w:r>
        <w:t>4) списанию невостребованной кредиторской задолженности;</w:t>
      </w:r>
    </w:p>
    <w:p w:rsidR="00F06D11" w:rsidRDefault="0038137D">
      <w:pPr>
        <w:spacing w:before="0" w:after="0" w:line="283" w:lineRule="exact"/>
        <w:ind w:firstLine="709"/>
      </w:pPr>
      <w:r>
        <w:t>5) оптимизации приема, хранения и отпуска материальных ценностей;</w:t>
      </w:r>
    </w:p>
    <w:p w:rsidR="00F06D11" w:rsidRDefault="0038137D">
      <w:pPr>
        <w:spacing w:before="0" w:after="0" w:line="283" w:lineRule="exact"/>
        <w:ind w:firstLine="709"/>
      </w:pPr>
      <w:r>
        <w:t>6) иные предложения.</w:t>
      </w:r>
    </w:p>
    <w:p w:rsidR="00F06D11" w:rsidRDefault="0038137D">
      <w:pPr>
        <w:spacing w:before="0" w:after="0" w:line="283" w:lineRule="exact"/>
        <w:ind w:firstLine="709"/>
        <w:outlineLvl w:val="1"/>
      </w:pPr>
      <w:r>
        <w:t>42. На основании инвентаризационных описей комиссия составляет Акт о результатах инвентаризации. При выявлении по результатам инвентаризации расхождений к Акту прилагается Ведомость расхождений по результатам инвентаризации.</w:t>
      </w:r>
    </w:p>
    <w:p w:rsidR="00F06D11" w:rsidRDefault="0038137D">
      <w:pPr>
        <w:spacing w:before="0" w:after="0" w:line="283" w:lineRule="exact"/>
        <w:ind w:firstLine="709"/>
        <w:outlineLvl w:val="1"/>
      </w:pPr>
      <w:r>
        <w:t>43. По результатам инвентаризации руководитель Исполнительного комитета издает распоряжение по выявленным расхождениям.</w:t>
      </w:r>
    </w:p>
    <w:p w:rsidR="00F06D11" w:rsidRDefault="0038137D">
      <w:pPr>
        <w:spacing w:before="0" w:after="0" w:line="283" w:lineRule="exact"/>
        <w:ind w:firstLine="709"/>
        <w:outlineLvl w:val="1"/>
        <w:sectPr w:rsidR="00F06D11">
          <w:headerReference w:type="even" r:id="rId191"/>
          <w:headerReference w:type="default" r:id="rId192"/>
          <w:footerReference w:type="even" r:id="rId193"/>
          <w:footerReference w:type="default" r:id="rId194"/>
          <w:headerReference w:type="first" r:id="rId195"/>
          <w:footerReference w:type="first" r:id="rId196"/>
          <w:pgSz w:w="11906" w:h="16838"/>
          <w:pgMar w:top="766" w:right="850" w:bottom="766" w:left="1701" w:header="709" w:footer="709" w:gutter="0"/>
          <w:pgNumType w:start="30"/>
          <w:cols w:space="720"/>
          <w:formProt w:val="0"/>
          <w:titlePg/>
          <w:docGrid w:linePitch="360"/>
        </w:sectPr>
      </w:pPr>
      <w:r>
        <w:t>44. Административная и дисциплинарная ответственность за не достоверное предоставление данных возлагается на управления, осуществляющие администрирование доходов.</w:t>
      </w:r>
    </w:p>
    <w:p w:rsidR="00F06D11" w:rsidRDefault="0038137D">
      <w:pPr>
        <w:keepNext/>
        <w:keepLines/>
        <w:spacing w:before="0" w:after="0"/>
        <w:ind w:left="5839" w:firstLine="0"/>
        <w:jc w:val="left"/>
      </w:pPr>
      <w:r>
        <w:t xml:space="preserve">Приложение № 7 </w:t>
      </w:r>
    </w:p>
    <w:p w:rsidR="00F06D11" w:rsidRDefault="0038137D">
      <w:pPr>
        <w:spacing w:before="0" w:after="0"/>
        <w:ind w:left="5839" w:firstLine="0"/>
        <w:jc w:val="left"/>
      </w:pPr>
      <w:r>
        <w:t>к Учетной политике</w:t>
      </w:r>
      <w:r>
        <w:br w:type="textWrapping" w:clear="all"/>
        <w:t xml:space="preserve">Исполнительного комитета </w:t>
      </w:r>
    </w:p>
    <w:p w:rsidR="00F06D11" w:rsidRDefault="0038137D">
      <w:pPr>
        <w:keepNext/>
        <w:keepLines/>
        <w:spacing w:before="0" w:after="0"/>
        <w:ind w:left="5839" w:firstLine="0"/>
        <w:jc w:val="left"/>
      </w:pPr>
      <w:r>
        <w:t xml:space="preserve">муниципального образования </w:t>
      </w:r>
    </w:p>
    <w:p w:rsidR="00F06D11" w:rsidRDefault="0038137D">
      <w:pPr>
        <w:spacing w:before="0" w:after="0"/>
        <w:ind w:left="5839" w:firstLine="0"/>
        <w:jc w:val="left"/>
      </w:pPr>
      <w:r>
        <w:t>город Набережные Челны</w:t>
      </w:r>
    </w:p>
    <w:p w:rsidR="00F06D11" w:rsidRDefault="00620920" w:rsidP="00620920">
      <w:pPr>
        <w:spacing w:before="0" w:after="0"/>
        <w:ind w:left="5839" w:firstLine="0"/>
        <w:jc w:val="left"/>
        <w:rPr>
          <w:b/>
          <w:spacing w:val="5"/>
          <w:sz w:val="28"/>
          <w:szCs w:val="52"/>
        </w:rPr>
      </w:pPr>
      <w:r w:rsidRPr="00620920">
        <w:rPr>
          <w:rFonts w:eastAsia="Calibri"/>
        </w:rPr>
        <w:t>от «30»_12_2025 №3142-р</w:t>
      </w:r>
    </w:p>
    <w:p w:rsidR="00F06D11" w:rsidRDefault="00F06D11">
      <w:pPr>
        <w:spacing w:after="300" w:line="240" w:lineRule="auto"/>
        <w:ind w:firstLine="0"/>
        <w:contextualSpacing/>
        <w:jc w:val="center"/>
        <w:outlineLvl w:val="0"/>
        <w:rPr>
          <w:b/>
          <w:spacing w:val="5"/>
          <w:sz w:val="28"/>
          <w:szCs w:val="52"/>
        </w:rPr>
      </w:pPr>
    </w:p>
    <w:p w:rsidR="00F06D11" w:rsidRDefault="0038137D">
      <w:pPr>
        <w:spacing w:before="0" w:after="0" w:line="240" w:lineRule="auto"/>
        <w:ind w:firstLine="0"/>
        <w:jc w:val="center"/>
        <w:outlineLvl w:val="0"/>
        <w:rPr>
          <w:spacing w:val="5"/>
        </w:rPr>
      </w:pPr>
      <w:r>
        <w:rPr>
          <w:spacing w:val="5"/>
        </w:rPr>
        <w:t xml:space="preserve">Порядок </w:t>
      </w:r>
    </w:p>
    <w:p w:rsidR="00F06D11" w:rsidRDefault="0038137D">
      <w:pPr>
        <w:spacing w:before="0" w:after="0" w:line="240" w:lineRule="auto"/>
        <w:ind w:firstLine="0"/>
        <w:jc w:val="center"/>
        <w:outlineLvl w:val="0"/>
      </w:pPr>
      <w:r>
        <w:rPr>
          <w:spacing w:val="5"/>
        </w:rPr>
        <w:t>передачи документов бухгалтерского учета и дел при смене (увольнении) материально-ответственных лиц Исполнительного комитета</w:t>
      </w:r>
    </w:p>
    <w:p w:rsidR="00F06D11" w:rsidRDefault="00F06D11">
      <w:pPr>
        <w:spacing w:before="0" w:after="0" w:line="240" w:lineRule="auto"/>
        <w:ind w:firstLine="0"/>
        <w:jc w:val="center"/>
        <w:outlineLvl w:val="0"/>
      </w:pPr>
    </w:p>
    <w:p w:rsidR="00F06D11" w:rsidRDefault="0038137D">
      <w:pPr>
        <w:spacing w:before="0" w:line="240" w:lineRule="auto"/>
        <w:ind w:left="482" w:firstLine="0"/>
        <w:jc w:val="center"/>
        <w:outlineLvl w:val="0"/>
      </w:pPr>
      <w:r>
        <w:t>ГЛАВА 1. Организация передачи документов и дел</w:t>
      </w:r>
    </w:p>
    <w:p w:rsidR="00F06D11" w:rsidRDefault="0038137D">
      <w:pPr>
        <w:spacing w:before="0" w:after="0"/>
        <w:ind w:firstLine="709"/>
        <w:outlineLvl w:val="1"/>
      </w:pPr>
      <w:r>
        <w:t>1. Основанием для передачи документов и дел является прекращение полномочий материально-отвественных лиц Исполнительного комитета.</w:t>
      </w:r>
    </w:p>
    <w:p w:rsidR="00F06D11" w:rsidRDefault="0038137D">
      <w:pPr>
        <w:spacing w:before="0" w:after="0"/>
        <w:ind w:firstLine="709"/>
        <w:outlineLvl w:val="1"/>
      </w:pPr>
      <w:r>
        <w:t>2. При возникновении основания, указанного в пункте 1 настоящего Порядка, издается распоряжение Исполнительного комитета о передаче документов и дел. В нем указываются:</w:t>
      </w:r>
    </w:p>
    <w:p w:rsidR="00F06D11" w:rsidRDefault="0038137D">
      <w:pPr>
        <w:spacing w:before="0" w:after="0"/>
        <w:ind w:firstLine="709"/>
      </w:pPr>
      <w:r>
        <w:t>1) лицо, передающее документы и дела;</w:t>
      </w:r>
    </w:p>
    <w:p w:rsidR="00F06D11" w:rsidRDefault="0038137D">
      <w:pPr>
        <w:spacing w:before="0" w:after="0"/>
        <w:ind w:firstLine="709"/>
      </w:pPr>
      <w:r>
        <w:t>2) лицо, которому передаются документы и дела;</w:t>
      </w:r>
    </w:p>
    <w:p w:rsidR="00F06D11" w:rsidRDefault="0038137D">
      <w:pPr>
        <w:spacing w:before="0" w:after="0"/>
        <w:ind w:firstLine="709"/>
      </w:pPr>
      <w:r>
        <w:t>3) дата передачи документов и дел и время начала и предельный срок такой передачи;</w:t>
      </w:r>
    </w:p>
    <w:p w:rsidR="00F06D11" w:rsidRDefault="0038137D">
      <w:pPr>
        <w:spacing w:before="0" w:after="0"/>
        <w:ind w:firstLine="709"/>
      </w:pPr>
      <w:r>
        <w:t>4) состав комиссии, создаваемой для передачи документов и дел (далее - комиссия);</w:t>
      </w:r>
    </w:p>
    <w:p w:rsidR="00F06D11" w:rsidRDefault="0038137D">
      <w:pPr>
        <w:spacing w:before="0" w:after="0"/>
        <w:ind w:firstLine="709"/>
      </w:pPr>
      <w:r>
        <w:t>5) перечень имущества и обязательств, подлежащих инвентаризации, и состав инвентаризационной комиссии (если он отличается от состава комиссии, создаваемой для передачи документов и дел).</w:t>
      </w:r>
    </w:p>
    <w:p w:rsidR="00F06D11" w:rsidRDefault="0038137D">
      <w:pPr>
        <w:spacing w:before="0" w:after="0"/>
        <w:ind w:firstLine="709"/>
        <w:outlineLvl w:val="1"/>
      </w:pPr>
      <w:r>
        <w:t>3.На время участия в работе комиссии ее члены освобождаются от исполнения своих непосредственных должностных обязанностей, если иное не указано в распоряжении о передаче документов и дел.</w:t>
      </w:r>
    </w:p>
    <w:p w:rsidR="00F06D11" w:rsidRDefault="00F06D11">
      <w:pPr>
        <w:spacing w:before="0" w:after="0"/>
        <w:ind w:firstLine="709"/>
        <w:outlineLvl w:val="1"/>
      </w:pPr>
    </w:p>
    <w:p w:rsidR="00F06D11" w:rsidRDefault="0038137D">
      <w:pPr>
        <w:spacing w:before="0" w:after="0"/>
        <w:ind w:firstLine="709"/>
        <w:jc w:val="center"/>
        <w:outlineLvl w:val="0"/>
      </w:pPr>
      <w:r>
        <w:t>ГЛАВА 2. Порядок передачи документов и дел</w:t>
      </w:r>
    </w:p>
    <w:p w:rsidR="00F06D11" w:rsidRDefault="00F06D11">
      <w:pPr>
        <w:spacing w:before="0" w:after="0"/>
        <w:ind w:firstLine="709"/>
        <w:jc w:val="center"/>
        <w:outlineLvl w:val="0"/>
      </w:pPr>
    </w:p>
    <w:p w:rsidR="00F06D11" w:rsidRDefault="0038137D">
      <w:pPr>
        <w:spacing w:before="0" w:after="0"/>
        <w:ind w:firstLine="709"/>
        <w:outlineLvl w:val="1"/>
      </w:pPr>
      <w:r>
        <w:t>4. Передача документов и дел начинается с проведения инвентаризации.</w:t>
      </w:r>
    </w:p>
    <w:p w:rsidR="00F06D11" w:rsidRDefault="0038137D">
      <w:pPr>
        <w:spacing w:before="0" w:after="0"/>
        <w:ind w:firstLine="709"/>
        <w:outlineLvl w:val="1"/>
      </w:pPr>
      <w:r>
        <w:t>5. Инвентаризации подлежит все имущество, которое закреплено за лицом, передающим дела и документы.</w:t>
      </w:r>
    </w:p>
    <w:p w:rsidR="00F06D11" w:rsidRDefault="0038137D">
      <w:pPr>
        <w:spacing w:before="0" w:after="0"/>
        <w:ind w:firstLine="709"/>
        <w:outlineLvl w:val="1"/>
      </w:pPr>
      <w:r>
        <w:t>6. Проведение инвентаризации и оформление ее результатов осуществляется в соответствии с Порядком проведения инвентаризации, согласно Приложению № 6 к настоящей Учетной политике.</w:t>
      </w:r>
    </w:p>
    <w:p w:rsidR="00F06D11" w:rsidRDefault="0038137D">
      <w:pPr>
        <w:spacing w:before="0" w:after="0"/>
        <w:ind w:firstLine="709"/>
        <w:outlineLvl w:val="1"/>
      </w:pPr>
      <w:r>
        <w:t>7. Непосредственно при передаче дел и документов осуществляются следующие действия:</w:t>
      </w:r>
    </w:p>
    <w:p w:rsidR="00F06D11" w:rsidRDefault="0038137D">
      <w:pPr>
        <w:spacing w:before="0" w:after="0"/>
        <w:ind w:firstLine="709"/>
      </w:pPr>
      <w:r>
        <w:t>1) передающее лицо в присутствии всех членов комиссии демонстрирует принимающему лицу все передаваемые документы, в том числе:</w:t>
      </w:r>
    </w:p>
    <w:p w:rsidR="00F06D11" w:rsidRDefault="0038137D">
      <w:pPr>
        <w:spacing w:before="0" w:after="0"/>
        <w:ind w:firstLine="709"/>
      </w:pPr>
      <w:r>
        <w:t>- учредительные, регистрационные и иные документы;</w:t>
      </w:r>
    </w:p>
    <w:p w:rsidR="00F06D11" w:rsidRDefault="0038137D">
      <w:pPr>
        <w:spacing w:before="0" w:after="0"/>
        <w:ind w:firstLine="709"/>
      </w:pPr>
      <w:r>
        <w:t>- лицензии, свидетельства, патенты и пр.;</w:t>
      </w:r>
    </w:p>
    <w:p w:rsidR="00F06D11" w:rsidRDefault="0038137D">
      <w:pPr>
        <w:spacing w:before="0" w:after="0"/>
        <w:ind w:firstLine="709"/>
      </w:pPr>
      <w:r>
        <w:t>- документы учетной политики;</w:t>
      </w:r>
    </w:p>
    <w:p w:rsidR="00F06D11" w:rsidRDefault="0038137D">
      <w:pPr>
        <w:spacing w:before="0" w:after="0"/>
        <w:ind w:firstLine="709"/>
      </w:pPr>
      <w:r>
        <w:t>- бюджетную и налоговую отчетность;</w:t>
      </w:r>
    </w:p>
    <w:p w:rsidR="00F06D11" w:rsidRDefault="0038137D">
      <w:pPr>
        <w:spacing w:before="0" w:after="0"/>
        <w:ind w:firstLine="709"/>
      </w:pPr>
      <w:r>
        <w:t>- документы, подтверждающие регистрацию прав на недвижимое имущество, документы о регистрации (постановке на учет) транспортных средств;</w:t>
      </w:r>
    </w:p>
    <w:p w:rsidR="00F06D11" w:rsidRDefault="0038137D">
      <w:pPr>
        <w:spacing w:before="0" w:after="0"/>
        <w:ind w:firstLine="709"/>
      </w:pPr>
      <w:r>
        <w:t>- акты ревизий и проверок;</w:t>
      </w:r>
    </w:p>
    <w:p w:rsidR="00F06D11" w:rsidRDefault="0038137D">
      <w:pPr>
        <w:spacing w:before="0" w:after="0"/>
        <w:ind w:firstLine="709"/>
      </w:pPr>
      <w:r>
        <w:t>- план-график закупок;</w:t>
      </w:r>
    </w:p>
    <w:p w:rsidR="00F06D11" w:rsidRDefault="0038137D">
      <w:pPr>
        <w:spacing w:before="0" w:after="0"/>
        <w:ind w:firstLine="709"/>
      </w:pPr>
      <w:r>
        <w:t>- бланки строгой отчетности;</w:t>
      </w:r>
    </w:p>
    <w:p w:rsidR="00F06D11" w:rsidRDefault="0038137D">
      <w:pPr>
        <w:spacing w:before="0" w:after="0"/>
        <w:ind w:firstLine="709"/>
      </w:pPr>
      <w:r>
        <w:t>- материалы о недостачах и хищениях, переданные и не переданные в правоохранительные органы;</w:t>
      </w:r>
    </w:p>
    <w:p w:rsidR="00F06D11" w:rsidRDefault="0038137D">
      <w:pPr>
        <w:spacing w:before="0" w:after="0"/>
        <w:ind w:firstLine="709"/>
      </w:pPr>
      <w:r>
        <w:t>- регистры бухгалтерского учета: книги, оборотные ведомости, карточки, журналы операций и пр.;</w:t>
      </w:r>
    </w:p>
    <w:p w:rsidR="00F06D11" w:rsidRDefault="0038137D">
      <w:pPr>
        <w:spacing w:before="0" w:after="0"/>
        <w:ind w:firstLine="709"/>
      </w:pPr>
      <w:r>
        <w:t>- регистры налогового учета;</w:t>
      </w:r>
    </w:p>
    <w:p w:rsidR="00F06D11" w:rsidRDefault="0038137D">
      <w:pPr>
        <w:spacing w:before="0" w:after="0"/>
        <w:ind w:firstLine="709"/>
      </w:pPr>
      <w:r>
        <w:t>- договоры с контрагентами;</w:t>
      </w:r>
    </w:p>
    <w:p w:rsidR="00F06D11" w:rsidRDefault="0038137D">
      <w:pPr>
        <w:spacing w:before="0" w:after="0"/>
        <w:ind w:firstLine="709"/>
      </w:pPr>
      <w:r>
        <w:t>- акты сверки расчетов с налоговыми органами, контрагентами;</w:t>
      </w:r>
    </w:p>
    <w:p w:rsidR="00F06D11" w:rsidRDefault="0038137D">
      <w:pPr>
        <w:spacing w:before="0" w:after="0"/>
        <w:ind w:firstLine="709"/>
      </w:pPr>
      <w:r>
        <w:t>- первичные (сводные) учетные документы;</w:t>
      </w:r>
    </w:p>
    <w:p w:rsidR="00F06D11" w:rsidRDefault="0038137D">
      <w:pPr>
        <w:spacing w:before="0" w:after="0"/>
        <w:ind w:firstLine="709"/>
      </w:pPr>
      <w:r>
        <w:t>- книгу покупок, книгу продаж, журналы регистрации счетов-фактур;</w:t>
      </w:r>
    </w:p>
    <w:p w:rsidR="00F06D11" w:rsidRDefault="0038137D">
      <w:pPr>
        <w:spacing w:before="0" w:after="0"/>
        <w:ind w:firstLine="709"/>
      </w:pPr>
      <w:r>
        <w:t>- документы по инвентаризации имущества и обязательств, в том числе акты инвентаризации, инвентаризационные описи, сличительные ведомости;</w:t>
      </w:r>
    </w:p>
    <w:p w:rsidR="00F06D11" w:rsidRDefault="0038137D">
      <w:pPr>
        <w:spacing w:before="0" w:after="0"/>
        <w:ind w:firstLine="709"/>
      </w:pPr>
      <w:r>
        <w:t>- иные документы;</w:t>
      </w:r>
    </w:p>
    <w:p w:rsidR="00F06D11" w:rsidRDefault="0038137D">
      <w:pPr>
        <w:spacing w:before="0" w:after="0"/>
        <w:ind w:firstLine="709"/>
      </w:pPr>
      <w:r>
        <w:t>2) передающее лицо в присутствии всех членов комиссии демонстрирует принимающему лицу всю информацию, которая имеется в электронном виде и подлежит передаче (бухгалтерские базы, пароли и иные средства доступа к необходимым для работы ресурсам и пр.);</w:t>
      </w:r>
    </w:p>
    <w:p w:rsidR="00F06D11" w:rsidRDefault="0038137D">
      <w:pPr>
        <w:spacing w:before="0" w:after="0"/>
        <w:ind w:firstLine="709"/>
      </w:pPr>
      <w:r>
        <w:t>3) передающее лицо в присутствии всех членов комиссии передает принимающему лицу все электронные носители, необходимые для работы, в частности сертификаты электронной подписи, а также демонстрирует порядок их применения (если это не сделано ранее);</w:t>
      </w:r>
    </w:p>
    <w:p w:rsidR="00F06D11" w:rsidRDefault="0038137D">
      <w:pPr>
        <w:spacing w:before="0" w:after="0"/>
        <w:ind w:firstLine="709"/>
      </w:pPr>
      <w:r>
        <w:t>4) передающее лицо в присутствии всех членов комиссии передает принимающему лицу ключи от сейфов, печати и штампы, чековые книжки и т.п.;</w:t>
      </w:r>
    </w:p>
    <w:p w:rsidR="00F06D11" w:rsidRDefault="0038137D">
      <w:pPr>
        <w:spacing w:before="0" w:after="0"/>
        <w:ind w:firstLine="709"/>
      </w:pPr>
      <w:r>
        <w:t>5) передающее лицо в присутствии всех членов комиссии доводит до принимающего лица информацию обо всех проблемах, нерешенных делах, возможных или имеющих место претензиях контролирующих органов и иных аналогичных вопросах;</w:t>
      </w:r>
    </w:p>
    <w:p w:rsidR="00F06D11" w:rsidRDefault="0038137D">
      <w:pPr>
        <w:spacing w:before="0" w:after="0"/>
        <w:ind w:firstLine="709"/>
      </w:pPr>
      <w:r>
        <w:t>6) при необходимости передающее лицо дает пояснения по любому из передаваемых (демонстрируемых в процессе передачи) документов, информации, предметов. Предоставление пояснений по любому вопросу принимающего лица и (или) члена комиссии обязательно.</w:t>
      </w:r>
    </w:p>
    <w:p w:rsidR="00F06D11" w:rsidRDefault="0038137D">
      <w:pPr>
        <w:spacing w:before="0" w:after="0"/>
        <w:ind w:firstLine="709"/>
        <w:outlineLvl w:val="1"/>
      </w:pPr>
      <w:r>
        <w:t>8. По результатам передачи дел и документов составляется акт по форме, согласно приложению к настоящему Порядку.</w:t>
      </w:r>
    </w:p>
    <w:p w:rsidR="00F06D11" w:rsidRDefault="0038137D">
      <w:pPr>
        <w:spacing w:before="0" w:after="0"/>
        <w:ind w:firstLine="709"/>
        <w:outlineLvl w:val="1"/>
      </w:pPr>
      <w:r>
        <w:t>9. В акте отражается каждое действие, осуществленное при передаче, а также все документы, которые были переданы (продемонстрированы) в процессе передачи.</w:t>
      </w:r>
    </w:p>
    <w:p w:rsidR="00F06D11" w:rsidRDefault="0038137D">
      <w:pPr>
        <w:spacing w:before="0" w:after="0"/>
        <w:ind w:firstLine="709"/>
        <w:outlineLvl w:val="1"/>
      </w:pPr>
      <w:r>
        <w:t>10. В акте отражаются все существенные недостатки и нарушения в организации работы по ведению учета, выявленные в процессе передачи документов и дел.</w:t>
      </w:r>
    </w:p>
    <w:p w:rsidR="00F06D11" w:rsidRDefault="0038137D">
      <w:pPr>
        <w:spacing w:before="0" w:after="0"/>
        <w:ind w:firstLine="709"/>
        <w:outlineLvl w:val="1"/>
      </w:pPr>
      <w:r>
        <w:t>11. Акт составляется в двух экземплярах (для передающего и принимающего), подписывается передающим лицом, принимающим лицом и всеми членами комиссии. Отказ от подписания акта не допускается.</w:t>
      </w:r>
    </w:p>
    <w:p w:rsidR="00F06D11" w:rsidRDefault="0038137D">
      <w:pPr>
        <w:spacing w:before="0" w:after="0"/>
        <w:ind w:firstLine="709"/>
        <w:outlineLvl w:val="1"/>
      </w:pPr>
      <w:r>
        <w:t>12. Каждое из лиц, подписывающих акт, имеет право внести в него все дополнения (примечания), которые сочтет нужным, а также привести рекомендации и предложения. Все дополнения, примечания, рекомендации и предложения излагаются в самом акте, а при их значительном объеме - на отдельном листе. В последнем случае при подписании делается отметка "Дополнения (примечания, рекомендации, предложения) прилагаются".</w:t>
      </w:r>
    </w:p>
    <w:p w:rsidR="00F06D11" w:rsidRDefault="00F06D11">
      <w:pPr>
        <w:keepNext/>
        <w:keepLines/>
        <w:spacing w:before="0" w:after="0"/>
        <w:ind w:firstLine="709"/>
        <w:jc w:val="right"/>
      </w:pPr>
    </w:p>
    <w:p w:rsidR="00F06D11" w:rsidRDefault="00F06D11">
      <w:pPr>
        <w:ind w:firstLine="0"/>
        <w:jc w:val="right"/>
      </w:pPr>
    </w:p>
    <w:p w:rsidR="00F06D11" w:rsidRDefault="00F06D11">
      <w:pPr>
        <w:ind w:firstLine="0"/>
        <w:jc w:val="right"/>
      </w:pPr>
    </w:p>
    <w:p w:rsidR="00F06D11" w:rsidRDefault="00F06D11">
      <w:pPr>
        <w:ind w:firstLine="0"/>
        <w:jc w:val="right"/>
      </w:pPr>
    </w:p>
    <w:p w:rsidR="00F06D11" w:rsidRDefault="00F06D11">
      <w:pPr>
        <w:ind w:firstLine="0"/>
        <w:jc w:val="right"/>
      </w:pPr>
    </w:p>
    <w:p w:rsidR="00F06D11" w:rsidRDefault="00F06D11">
      <w:pPr>
        <w:ind w:firstLine="0"/>
        <w:jc w:val="right"/>
      </w:pPr>
    </w:p>
    <w:p w:rsidR="00F06D11" w:rsidRDefault="00F06D11">
      <w:pPr>
        <w:ind w:firstLine="0"/>
        <w:jc w:val="right"/>
      </w:pPr>
    </w:p>
    <w:p w:rsidR="00F06D11" w:rsidRDefault="00F06D11">
      <w:pPr>
        <w:ind w:firstLine="0"/>
        <w:jc w:val="right"/>
      </w:pPr>
    </w:p>
    <w:p w:rsidR="00F06D11" w:rsidRDefault="0038137D">
      <w:pPr>
        <w:spacing w:before="6" w:after="6"/>
        <w:ind w:left="5613" w:firstLine="0"/>
        <w:jc w:val="left"/>
      </w:pPr>
      <w:r>
        <w:t xml:space="preserve">Приложение </w:t>
      </w:r>
    </w:p>
    <w:p w:rsidR="00F06D11" w:rsidRDefault="0038137D">
      <w:pPr>
        <w:spacing w:before="6" w:after="6"/>
        <w:ind w:left="5613" w:firstLine="0"/>
        <w:jc w:val="left"/>
      </w:pPr>
      <w:r>
        <w:t>к Порядку передачи документов</w:t>
      </w:r>
    </w:p>
    <w:p w:rsidR="00F06D11" w:rsidRDefault="0038137D">
      <w:pPr>
        <w:spacing w:before="6" w:after="6"/>
        <w:ind w:left="5613" w:firstLine="0"/>
        <w:jc w:val="left"/>
      </w:pPr>
      <w:r>
        <w:t>в бухгалтерского учета и дел</w:t>
      </w:r>
    </w:p>
    <w:p w:rsidR="00F06D11" w:rsidRDefault="0038137D">
      <w:pPr>
        <w:jc w:val="center"/>
      </w:pPr>
      <w:r>
        <w:rPr>
          <w:u w:val="single"/>
        </w:rPr>
        <w:t>      (наименование организации)      </w:t>
      </w:r>
    </w:p>
    <w:p w:rsidR="00F06D11" w:rsidRDefault="0038137D">
      <w:pPr>
        <w:jc w:val="center"/>
      </w:pPr>
      <w:r>
        <w:t>АКТ</w:t>
      </w:r>
    </w:p>
    <w:p w:rsidR="00F06D11" w:rsidRDefault="0038137D">
      <w:pPr>
        <w:jc w:val="center"/>
        <w:rPr>
          <w:u w:val="single"/>
          <w:lang w:bidi="ru-RU"/>
        </w:rPr>
      </w:pPr>
      <w:r>
        <w:t>приема-передачи документов и дел</w:t>
      </w:r>
    </w:p>
    <w:tbl>
      <w:tblPr>
        <w:tblW w:w="5000" w:type="pct"/>
        <w:jc w:val="center"/>
        <w:tblLayout w:type="fixed"/>
        <w:tblLook w:val="04A0" w:firstRow="1" w:lastRow="0" w:firstColumn="1" w:lastColumn="0" w:noHBand="0" w:noVBand="1"/>
      </w:tblPr>
      <w:tblGrid>
        <w:gridCol w:w="6220"/>
        <w:gridCol w:w="3351"/>
      </w:tblGrid>
      <w:tr w:rsidR="00F06D11">
        <w:trPr>
          <w:jc w:val="center"/>
        </w:trPr>
        <w:tc>
          <w:tcPr>
            <w:tcW w:w="6079" w:type="dxa"/>
          </w:tcPr>
          <w:p w:rsidR="00F06D11" w:rsidRDefault="0038137D">
            <w:pPr>
              <w:keepNext/>
              <w:ind w:firstLine="0"/>
              <w:jc w:val="left"/>
            </w:pPr>
            <w:r>
              <w:rPr>
                <w:u w:val="single"/>
                <w:lang w:bidi="ru-RU"/>
              </w:rPr>
              <w:t>        (место подписания акта)</w:t>
            </w:r>
          </w:p>
        </w:tc>
        <w:tc>
          <w:tcPr>
            <w:tcW w:w="3275" w:type="dxa"/>
          </w:tcPr>
          <w:p w:rsidR="00F06D11" w:rsidRDefault="0038137D">
            <w:pPr>
              <w:keepNext/>
              <w:ind w:firstLine="0"/>
              <w:jc w:val="left"/>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г.</w:t>
            </w:r>
          </w:p>
        </w:tc>
      </w:tr>
    </w:tbl>
    <w:p w:rsidR="00F06D11" w:rsidRDefault="0038137D">
      <w:pPr>
        <w:rPr>
          <w:u w:val="single"/>
        </w:rPr>
      </w:pPr>
      <w:r>
        <w:t>Мы, нижеподписавшиеся:</w:t>
      </w:r>
    </w:p>
    <w:p w:rsidR="00F06D11" w:rsidRDefault="0038137D">
      <w:pPr>
        <w:rPr>
          <w:u w:val="single"/>
        </w:rPr>
      </w:pPr>
      <w:r>
        <w:rPr>
          <w:u w:val="single"/>
        </w:rPr>
        <w:t>            (должность, Ф.И.О.)            </w:t>
      </w:r>
      <w:r>
        <w:t> - сдающий документы и дела,</w:t>
      </w:r>
    </w:p>
    <w:p w:rsidR="00F06D11" w:rsidRDefault="0038137D">
      <w:r>
        <w:rPr>
          <w:u w:val="single"/>
        </w:rPr>
        <w:t>            (должность, Ф.И.О.)            </w:t>
      </w:r>
      <w:r>
        <w:t> - принимающий документы и дела,</w:t>
      </w:r>
    </w:p>
    <w:p w:rsidR="00F06D11" w:rsidRDefault="0038137D">
      <w:pPr>
        <w:rPr>
          <w:u w:val="single"/>
        </w:rPr>
      </w:pPr>
      <w:r>
        <w:t xml:space="preserve">члены комиссии, созданной </w:t>
      </w:r>
      <w:r>
        <w:rPr>
          <w:u w:val="single"/>
        </w:rPr>
        <w:t>    (вид документа – приказ, распоряжение и т.п.)    </w:t>
      </w:r>
      <w:r>
        <w:t> </w:t>
      </w:r>
      <w:r>
        <w:rPr>
          <w:u w:val="single"/>
        </w:rPr>
        <w:t>    (должность руководителя)    </w:t>
      </w:r>
      <w:r>
        <w:t xml:space="preserve"> от </w:t>
      </w:r>
      <w:r>
        <w:rPr>
          <w:u w:val="single"/>
        </w:rPr>
        <w:t>                     </w:t>
      </w:r>
      <w:r>
        <w:t xml:space="preserve"> № </w:t>
      </w:r>
      <w:r>
        <w:rPr>
          <w:u w:val="single"/>
        </w:rPr>
        <w:t>                   </w:t>
      </w:r>
    </w:p>
    <w:p w:rsidR="00F06D11" w:rsidRDefault="0038137D">
      <w:pPr>
        <w:rPr>
          <w:u w:val="single"/>
        </w:rPr>
      </w:pPr>
      <w:r>
        <w:rPr>
          <w:u w:val="single"/>
        </w:rPr>
        <w:t>            (должность, Ф.И.О.)            </w:t>
      </w:r>
      <w:r>
        <w:t> - председатель комиссии,</w:t>
      </w:r>
    </w:p>
    <w:p w:rsidR="00F06D11" w:rsidRDefault="0038137D">
      <w:pPr>
        <w:rPr>
          <w:u w:val="single"/>
        </w:rPr>
      </w:pPr>
      <w:r>
        <w:rPr>
          <w:u w:val="single"/>
        </w:rPr>
        <w:t>            (должность, Ф.И.О.)            </w:t>
      </w:r>
      <w:r>
        <w:t> - член комиссии,</w:t>
      </w:r>
    </w:p>
    <w:p w:rsidR="00F06D11" w:rsidRDefault="0038137D">
      <w:r>
        <w:rPr>
          <w:u w:val="single"/>
        </w:rPr>
        <w:t>            (должность, Ф.И.О.)            </w:t>
      </w:r>
      <w:r>
        <w:t> - член комиссии,</w:t>
      </w:r>
    </w:p>
    <w:p w:rsidR="00F06D11" w:rsidRDefault="0038137D">
      <w:r>
        <w:t xml:space="preserve">представитель </w:t>
      </w:r>
      <w:r>
        <w:rPr>
          <w:u w:val="single"/>
        </w:rPr>
        <w:t>            (должность, Ф.И.О.)            </w:t>
      </w:r>
    </w:p>
    <w:p w:rsidR="00F06D11" w:rsidRDefault="0038137D">
      <w:pPr>
        <w:rPr>
          <w:u w:val="single"/>
        </w:rPr>
      </w:pPr>
      <w:r>
        <w:t>составили настоящий акт о том, что</w:t>
      </w:r>
    </w:p>
    <w:p w:rsidR="00F06D11" w:rsidRDefault="0038137D">
      <w:pPr>
        <w:rPr>
          <w:u w:val="single"/>
        </w:rPr>
      </w:pPr>
      <w:r>
        <w:rPr>
          <w:u w:val="single"/>
        </w:rPr>
        <w:t>    (должность, фамилия, инициалы сдающего в творительном падеже)    </w:t>
      </w:r>
    </w:p>
    <w:p w:rsidR="00F06D11" w:rsidRDefault="0038137D">
      <w:r>
        <w:rPr>
          <w:u w:val="single"/>
        </w:rPr>
        <w:t>    (должность, фамилия, инициалы принимающего в дательном падеже)    </w:t>
      </w:r>
    </w:p>
    <w:p w:rsidR="00F06D11" w:rsidRDefault="0038137D">
      <w:r>
        <w:t>переданы:</w:t>
      </w:r>
    </w:p>
    <w:p w:rsidR="00F06D11" w:rsidRDefault="0038137D">
      <w:pPr>
        <w:rPr>
          <w:lang w:bidi="ru-RU"/>
        </w:rPr>
      </w:pPr>
      <w:r>
        <w:t>1. Следующие документы и сведения:</w:t>
      </w:r>
    </w:p>
    <w:tbl>
      <w:tblPr>
        <w:tblW w:w="5000" w:type="pct"/>
        <w:tblInd w:w="-109" w:type="dxa"/>
        <w:tblLayout w:type="fixed"/>
        <w:tblLook w:val="04A0" w:firstRow="1" w:lastRow="0" w:firstColumn="1" w:lastColumn="0" w:noHBand="0" w:noVBand="1"/>
      </w:tblPr>
      <w:tblGrid>
        <w:gridCol w:w="765"/>
        <w:gridCol w:w="5360"/>
        <w:gridCol w:w="3446"/>
      </w:tblGrid>
      <w:tr w:rsidR="00F06D11">
        <w:tc>
          <w:tcPr>
            <w:tcW w:w="748" w:type="dxa"/>
            <w:tcBorders>
              <w:top w:val="single" w:sz="6" w:space="0" w:color="000000"/>
              <w:left w:val="single" w:sz="6" w:space="0" w:color="000000"/>
              <w:bottom w:val="single" w:sz="6" w:space="0" w:color="000000"/>
              <w:right w:val="single" w:sz="6" w:space="0" w:color="000000"/>
            </w:tcBorders>
          </w:tcPr>
          <w:p w:rsidR="00F06D11" w:rsidRDefault="0038137D">
            <w:pPr>
              <w:keepNext/>
              <w:spacing w:before="63" w:after="63"/>
              <w:ind w:firstLine="0"/>
              <w:jc w:val="center"/>
            </w:pPr>
            <w:r>
              <w:rPr>
                <w:lang w:bidi="ru-RU"/>
              </w:rPr>
              <w:t>№ п/п</w:t>
            </w:r>
          </w:p>
        </w:tc>
        <w:tc>
          <w:tcPr>
            <w:tcW w:w="5239" w:type="dxa"/>
            <w:tcBorders>
              <w:top w:val="single" w:sz="6" w:space="0" w:color="000000"/>
              <w:left w:val="single" w:sz="6" w:space="0" w:color="000000"/>
              <w:bottom w:val="single" w:sz="6" w:space="0" w:color="000000"/>
              <w:right w:val="single" w:sz="6" w:space="0" w:color="000000"/>
            </w:tcBorders>
          </w:tcPr>
          <w:p w:rsidR="00F06D11" w:rsidRDefault="0038137D">
            <w:pPr>
              <w:keepNext/>
              <w:spacing w:before="63" w:after="63"/>
              <w:ind w:firstLine="0"/>
              <w:jc w:val="center"/>
            </w:pPr>
            <w:r>
              <w:rPr>
                <w:lang w:bidi="ru-RU"/>
              </w:rPr>
              <w:t>Описание переданных документов и сведений</w:t>
            </w:r>
          </w:p>
        </w:tc>
        <w:tc>
          <w:tcPr>
            <w:tcW w:w="3368" w:type="dxa"/>
            <w:tcBorders>
              <w:top w:val="single" w:sz="6" w:space="0" w:color="000000"/>
              <w:left w:val="single" w:sz="6" w:space="0" w:color="000000"/>
              <w:bottom w:val="single" w:sz="6" w:space="0" w:color="000000"/>
              <w:right w:val="single" w:sz="6" w:space="0" w:color="000000"/>
            </w:tcBorders>
          </w:tcPr>
          <w:p w:rsidR="00F06D11" w:rsidRDefault="0038137D">
            <w:pPr>
              <w:keepNext/>
              <w:spacing w:before="63" w:after="63"/>
              <w:ind w:firstLine="0"/>
              <w:jc w:val="center"/>
            </w:pPr>
            <w:r>
              <w:rPr>
                <w:lang w:bidi="ru-RU"/>
              </w:rPr>
              <w:t>Количество</w:t>
            </w:r>
          </w:p>
        </w:tc>
      </w:tr>
      <w:tr w:rsidR="00F06D11">
        <w:tc>
          <w:tcPr>
            <w:tcW w:w="748" w:type="dxa"/>
            <w:tcBorders>
              <w:top w:val="single" w:sz="6" w:space="0" w:color="000000"/>
              <w:left w:val="single" w:sz="6" w:space="0" w:color="000000"/>
              <w:bottom w:val="single" w:sz="6" w:space="0" w:color="000000"/>
              <w:right w:val="single" w:sz="6" w:space="0" w:color="000000"/>
            </w:tcBorders>
          </w:tcPr>
          <w:p w:rsidR="00F06D11" w:rsidRDefault="0038137D">
            <w:pPr>
              <w:keepNext/>
              <w:spacing w:before="63" w:after="63"/>
              <w:ind w:firstLine="0"/>
              <w:jc w:val="left"/>
            </w:pPr>
            <w:r>
              <w:rPr>
                <w:lang w:bidi="ru-RU"/>
              </w:rPr>
              <w:t>1</w:t>
            </w:r>
          </w:p>
        </w:tc>
        <w:tc>
          <w:tcPr>
            <w:tcW w:w="5239" w:type="dxa"/>
            <w:tcBorders>
              <w:top w:val="single" w:sz="6" w:space="0" w:color="000000"/>
              <w:left w:val="single" w:sz="6" w:space="0" w:color="000000"/>
              <w:bottom w:val="single" w:sz="6" w:space="0" w:color="000000"/>
              <w:right w:val="single" w:sz="6" w:space="0" w:color="000000"/>
            </w:tcBorders>
          </w:tcPr>
          <w:p w:rsidR="00F06D11" w:rsidRDefault="00F06D11">
            <w:pPr>
              <w:keepNext/>
              <w:spacing w:before="63" w:after="63"/>
              <w:ind w:firstLine="0"/>
              <w:jc w:val="left"/>
              <w:rPr>
                <w:lang w:bidi="ru-RU"/>
              </w:rPr>
            </w:pPr>
          </w:p>
        </w:tc>
        <w:tc>
          <w:tcPr>
            <w:tcW w:w="3368" w:type="dxa"/>
            <w:tcBorders>
              <w:top w:val="single" w:sz="6" w:space="0" w:color="000000"/>
              <w:left w:val="single" w:sz="6" w:space="0" w:color="000000"/>
              <w:bottom w:val="single" w:sz="6" w:space="0" w:color="000000"/>
              <w:right w:val="single" w:sz="6" w:space="0" w:color="000000"/>
            </w:tcBorders>
          </w:tcPr>
          <w:p w:rsidR="00F06D11" w:rsidRDefault="00F06D11">
            <w:pPr>
              <w:keepNext/>
              <w:spacing w:before="63" w:after="63"/>
              <w:ind w:firstLine="0"/>
              <w:jc w:val="left"/>
              <w:rPr>
                <w:lang w:bidi="ru-RU"/>
              </w:rPr>
            </w:pPr>
          </w:p>
        </w:tc>
      </w:tr>
      <w:tr w:rsidR="00F06D11">
        <w:tc>
          <w:tcPr>
            <w:tcW w:w="748" w:type="dxa"/>
            <w:tcBorders>
              <w:top w:val="single" w:sz="6" w:space="0" w:color="000000"/>
              <w:left w:val="single" w:sz="6" w:space="0" w:color="000000"/>
              <w:bottom w:val="single" w:sz="6" w:space="0" w:color="000000"/>
              <w:right w:val="single" w:sz="6" w:space="0" w:color="000000"/>
            </w:tcBorders>
          </w:tcPr>
          <w:p w:rsidR="00F06D11" w:rsidRDefault="0038137D">
            <w:pPr>
              <w:keepNext/>
              <w:spacing w:before="63" w:after="63"/>
              <w:ind w:firstLine="0"/>
              <w:jc w:val="left"/>
            </w:pPr>
            <w:r>
              <w:rPr>
                <w:lang w:bidi="ru-RU"/>
              </w:rPr>
              <w:t>2</w:t>
            </w:r>
          </w:p>
        </w:tc>
        <w:tc>
          <w:tcPr>
            <w:tcW w:w="5239" w:type="dxa"/>
            <w:tcBorders>
              <w:top w:val="single" w:sz="6" w:space="0" w:color="000000"/>
              <w:left w:val="single" w:sz="6" w:space="0" w:color="000000"/>
              <w:bottom w:val="single" w:sz="6" w:space="0" w:color="000000"/>
              <w:right w:val="single" w:sz="6" w:space="0" w:color="000000"/>
            </w:tcBorders>
          </w:tcPr>
          <w:p w:rsidR="00F06D11" w:rsidRDefault="00F06D11">
            <w:pPr>
              <w:keepNext/>
              <w:spacing w:before="63" w:after="63"/>
              <w:ind w:firstLine="0"/>
              <w:jc w:val="left"/>
              <w:rPr>
                <w:lang w:bidi="ru-RU"/>
              </w:rPr>
            </w:pPr>
          </w:p>
        </w:tc>
        <w:tc>
          <w:tcPr>
            <w:tcW w:w="3368" w:type="dxa"/>
            <w:tcBorders>
              <w:top w:val="single" w:sz="6" w:space="0" w:color="000000"/>
              <w:left w:val="single" w:sz="6" w:space="0" w:color="000000"/>
              <w:bottom w:val="single" w:sz="6" w:space="0" w:color="000000"/>
              <w:right w:val="single" w:sz="6" w:space="0" w:color="000000"/>
            </w:tcBorders>
          </w:tcPr>
          <w:p w:rsidR="00F06D11" w:rsidRDefault="00F06D11">
            <w:pPr>
              <w:keepNext/>
              <w:spacing w:before="63" w:after="63"/>
              <w:ind w:firstLine="0"/>
              <w:jc w:val="left"/>
              <w:rPr>
                <w:lang w:bidi="ru-RU"/>
              </w:rPr>
            </w:pPr>
          </w:p>
        </w:tc>
      </w:tr>
      <w:tr w:rsidR="00F06D11">
        <w:tc>
          <w:tcPr>
            <w:tcW w:w="748" w:type="dxa"/>
            <w:tcBorders>
              <w:top w:val="single" w:sz="6" w:space="0" w:color="000000"/>
              <w:left w:val="single" w:sz="6" w:space="0" w:color="000000"/>
              <w:bottom w:val="single" w:sz="6" w:space="0" w:color="000000"/>
              <w:right w:val="single" w:sz="6" w:space="0" w:color="000000"/>
            </w:tcBorders>
          </w:tcPr>
          <w:p w:rsidR="00F06D11" w:rsidRDefault="0038137D">
            <w:pPr>
              <w:keepNext/>
              <w:spacing w:before="63" w:after="63"/>
              <w:ind w:firstLine="0"/>
              <w:jc w:val="left"/>
            </w:pPr>
            <w:r>
              <w:rPr>
                <w:lang w:bidi="ru-RU"/>
              </w:rPr>
              <w:t>3</w:t>
            </w:r>
          </w:p>
        </w:tc>
        <w:tc>
          <w:tcPr>
            <w:tcW w:w="5239" w:type="dxa"/>
            <w:tcBorders>
              <w:top w:val="single" w:sz="6" w:space="0" w:color="000000"/>
              <w:left w:val="single" w:sz="6" w:space="0" w:color="000000"/>
              <w:bottom w:val="single" w:sz="6" w:space="0" w:color="000000"/>
              <w:right w:val="single" w:sz="6" w:space="0" w:color="000000"/>
            </w:tcBorders>
          </w:tcPr>
          <w:p w:rsidR="00F06D11" w:rsidRDefault="00F06D11">
            <w:pPr>
              <w:keepNext/>
              <w:spacing w:before="63" w:after="63"/>
              <w:ind w:firstLine="0"/>
              <w:jc w:val="left"/>
              <w:rPr>
                <w:lang w:bidi="ru-RU"/>
              </w:rPr>
            </w:pPr>
          </w:p>
        </w:tc>
        <w:tc>
          <w:tcPr>
            <w:tcW w:w="3368" w:type="dxa"/>
            <w:tcBorders>
              <w:top w:val="single" w:sz="6" w:space="0" w:color="000000"/>
              <w:left w:val="single" w:sz="6" w:space="0" w:color="000000"/>
              <w:bottom w:val="single" w:sz="6" w:space="0" w:color="000000"/>
              <w:right w:val="single" w:sz="6" w:space="0" w:color="000000"/>
            </w:tcBorders>
          </w:tcPr>
          <w:p w:rsidR="00F06D11" w:rsidRDefault="00F06D11">
            <w:pPr>
              <w:keepNext/>
              <w:spacing w:before="63" w:after="63"/>
              <w:ind w:firstLine="0"/>
              <w:jc w:val="left"/>
              <w:rPr>
                <w:lang w:bidi="ru-RU"/>
              </w:rPr>
            </w:pPr>
          </w:p>
        </w:tc>
      </w:tr>
      <w:tr w:rsidR="00F06D11">
        <w:tc>
          <w:tcPr>
            <w:tcW w:w="748" w:type="dxa"/>
            <w:tcBorders>
              <w:top w:val="single" w:sz="6" w:space="0" w:color="000000"/>
              <w:left w:val="single" w:sz="6" w:space="0" w:color="000000"/>
              <w:bottom w:val="single" w:sz="6" w:space="0" w:color="000000"/>
              <w:right w:val="single" w:sz="6" w:space="0" w:color="000000"/>
            </w:tcBorders>
          </w:tcPr>
          <w:p w:rsidR="00F06D11" w:rsidRDefault="0038137D">
            <w:pPr>
              <w:keepNext/>
              <w:spacing w:before="63" w:after="63"/>
              <w:ind w:firstLine="0"/>
              <w:jc w:val="left"/>
            </w:pPr>
            <w:r>
              <w:rPr>
                <w:lang w:bidi="ru-RU"/>
              </w:rPr>
              <w:t>…</w:t>
            </w:r>
          </w:p>
        </w:tc>
        <w:tc>
          <w:tcPr>
            <w:tcW w:w="5239" w:type="dxa"/>
            <w:tcBorders>
              <w:top w:val="single" w:sz="6" w:space="0" w:color="000000"/>
              <w:left w:val="single" w:sz="6" w:space="0" w:color="000000"/>
              <w:bottom w:val="single" w:sz="6" w:space="0" w:color="000000"/>
              <w:right w:val="single" w:sz="6" w:space="0" w:color="000000"/>
            </w:tcBorders>
          </w:tcPr>
          <w:p w:rsidR="00F06D11" w:rsidRDefault="00F06D11">
            <w:pPr>
              <w:keepNext/>
              <w:spacing w:before="63" w:after="63"/>
              <w:ind w:firstLine="0"/>
              <w:jc w:val="left"/>
              <w:rPr>
                <w:lang w:bidi="ru-RU"/>
              </w:rPr>
            </w:pPr>
          </w:p>
        </w:tc>
        <w:tc>
          <w:tcPr>
            <w:tcW w:w="3368" w:type="dxa"/>
            <w:tcBorders>
              <w:top w:val="single" w:sz="6" w:space="0" w:color="000000"/>
              <w:left w:val="single" w:sz="6" w:space="0" w:color="000000"/>
              <w:bottom w:val="single" w:sz="6" w:space="0" w:color="000000"/>
              <w:right w:val="single" w:sz="6" w:space="0" w:color="000000"/>
            </w:tcBorders>
          </w:tcPr>
          <w:p w:rsidR="00F06D11" w:rsidRDefault="00F06D11">
            <w:pPr>
              <w:keepNext/>
              <w:spacing w:before="63" w:after="63"/>
              <w:ind w:firstLine="0"/>
              <w:jc w:val="left"/>
              <w:rPr>
                <w:lang w:bidi="ru-RU"/>
              </w:rPr>
            </w:pPr>
          </w:p>
        </w:tc>
      </w:tr>
    </w:tbl>
    <w:p w:rsidR="00F06D11" w:rsidRDefault="0038137D">
      <w:r>
        <w:t>2. Следующая информация в электронном виде:</w:t>
      </w:r>
    </w:p>
    <w:tbl>
      <w:tblPr>
        <w:tblW w:w="5000" w:type="pct"/>
        <w:tblInd w:w="-109" w:type="dxa"/>
        <w:tblLayout w:type="fixed"/>
        <w:tblLook w:val="04A0" w:firstRow="1" w:lastRow="0" w:firstColumn="1" w:lastColumn="0" w:noHBand="0" w:noVBand="1"/>
      </w:tblPr>
      <w:tblGrid>
        <w:gridCol w:w="765"/>
        <w:gridCol w:w="5360"/>
        <w:gridCol w:w="3446"/>
      </w:tblGrid>
      <w:tr w:rsidR="00F06D11">
        <w:tc>
          <w:tcPr>
            <w:tcW w:w="748" w:type="dxa"/>
            <w:tcBorders>
              <w:top w:val="single" w:sz="6" w:space="0" w:color="000000"/>
              <w:left w:val="single" w:sz="6" w:space="0" w:color="000000"/>
              <w:bottom w:val="single" w:sz="6" w:space="0" w:color="000000"/>
              <w:right w:val="single" w:sz="6" w:space="0" w:color="000000"/>
            </w:tcBorders>
          </w:tcPr>
          <w:p w:rsidR="00F06D11" w:rsidRDefault="0038137D">
            <w:pPr>
              <w:keepNext/>
              <w:spacing w:before="63" w:after="63"/>
              <w:ind w:firstLine="0"/>
              <w:jc w:val="center"/>
            </w:pPr>
            <w:r>
              <w:rPr>
                <w:lang w:bidi="ru-RU"/>
              </w:rPr>
              <w:t>№ п/п</w:t>
            </w:r>
          </w:p>
        </w:tc>
        <w:tc>
          <w:tcPr>
            <w:tcW w:w="5239" w:type="dxa"/>
            <w:tcBorders>
              <w:top w:val="single" w:sz="6" w:space="0" w:color="000000"/>
              <w:left w:val="single" w:sz="6" w:space="0" w:color="000000"/>
              <w:bottom w:val="single" w:sz="6" w:space="0" w:color="000000"/>
              <w:right w:val="single" w:sz="6" w:space="0" w:color="000000"/>
            </w:tcBorders>
          </w:tcPr>
          <w:p w:rsidR="00F06D11" w:rsidRDefault="0038137D">
            <w:pPr>
              <w:keepNext/>
              <w:spacing w:before="63" w:after="63"/>
              <w:ind w:firstLine="0"/>
              <w:jc w:val="center"/>
            </w:pPr>
            <w:r>
              <w:rPr>
                <w:lang w:bidi="ru-RU"/>
              </w:rPr>
              <w:t>Описание переданной информации</w:t>
            </w:r>
          </w:p>
          <w:p w:rsidR="00F06D11" w:rsidRDefault="0038137D">
            <w:pPr>
              <w:keepNext/>
              <w:spacing w:before="63" w:after="63"/>
              <w:ind w:firstLine="0"/>
              <w:jc w:val="center"/>
            </w:pPr>
            <w:r>
              <w:rPr>
                <w:lang w:bidi="ru-RU"/>
              </w:rPr>
              <w:t>в электронном виде</w:t>
            </w:r>
          </w:p>
        </w:tc>
        <w:tc>
          <w:tcPr>
            <w:tcW w:w="3368" w:type="dxa"/>
            <w:tcBorders>
              <w:top w:val="single" w:sz="6" w:space="0" w:color="000000"/>
              <w:left w:val="single" w:sz="6" w:space="0" w:color="000000"/>
              <w:bottom w:val="single" w:sz="6" w:space="0" w:color="000000"/>
              <w:right w:val="single" w:sz="6" w:space="0" w:color="000000"/>
            </w:tcBorders>
          </w:tcPr>
          <w:p w:rsidR="00F06D11" w:rsidRDefault="0038137D">
            <w:pPr>
              <w:keepNext/>
              <w:spacing w:before="63" w:after="63"/>
              <w:ind w:firstLine="0"/>
              <w:jc w:val="center"/>
            </w:pPr>
            <w:r>
              <w:rPr>
                <w:lang w:bidi="ru-RU"/>
              </w:rPr>
              <w:t>Количество</w:t>
            </w:r>
          </w:p>
        </w:tc>
      </w:tr>
      <w:tr w:rsidR="00F06D11">
        <w:tc>
          <w:tcPr>
            <w:tcW w:w="748" w:type="dxa"/>
            <w:tcBorders>
              <w:top w:val="single" w:sz="6" w:space="0" w:color="000000"/>
              <w:left w:val="single" w:sz="6" w:space="0" w:color="000000"/>
              <w:bottom w:val="single" w:sz="6" w:space="0" w:color="000000"/>
              <w:right w:val="single" w:sz="6" w:space="0" w:color="000000"/>
            </w:tcBorders>
          </w:tcPr>
          <w:p w:rsidR="00F06D11" w:rsidRDefault="0038137D">
            <w:pPr>
              <w:keepNext/>
              <w:spacing w:before="63" w:after="63"/>
              <w:ind w:firstLine="0"/>
              <w:jc w:val="left"/>
            </w:pPr>
            <w:r>
              <w:rPr>
                <w:lang w:bidi="ru-RU"/>
              </w:rPr>
              <w:t>1</w:t>
            </w:r>
          </w:p>
        </w:tc>
        <w:tc>
          <w:tcPr>
            <w:tcW w:w="5239" w:type="dxa"/>
            <w:tcBorders>
              <w:top w:val="single" w:sz="6" w:space="0" w:color="000000"/>
              <w:left w:val="single" w:sz="6" w:space="0" w:color="000000"/>
              <w:bottom w:val="single" w:sz="6" w:space="0" w:color="000000"/>
              <w:right w:val="single" w:sz="6" w:space="0" w:color="000000"/>
            </w:tcBorders>
          </w:tcPr>
          <w:p w:rsidR="00F06D11" w:rsidRDefault="00F06D11">
            <w:pPr>
              <w:keepNext/>
              <w:spacing w:before="63" w:after="63"/>
              <w:ind w:firstLine="0"/>
              <w:jc w:val="left"/>
              <w:rPr>
                <w:lang w:bidi="ru-RU"/>
              </w:rPr>
            </w:pPr>
          </w:p>
        </w:tc>
        <w:tc>
          <w:tcPr>
            <w:tcW w:w="3368" w:type="dxa"/>
            <w:tcBorders>
              <w:top w:val="single" w:sz="6" w:space="0" w:color="000000"/>
              <w:left w:val="single" w:sz="6" w:space="0" w:color="000000"/>
              <w:bottom w:val="single" w:sz="6" w:space="0" w:color="000000"/>
              <w:right w:val="single" w:sz="6" w:space="0" w:color="000000"/>
            </w:tcBorders>
          </w:tcPr>
          <w:p w:rsidR="00F06D11" w:rsidRDefault="00F06D11">
            <w:pPr>
              <w:keepNext/>
              <w:spacing w:before="63" w:after="63"/>
              <w:ind w:firstLine="0"/>
              <w:jc w:val="left"/>
              <w:rPr>
                <w:lang w:bidi="ru-RU"/>
              </w:rPr>
            </w:pPr>
          </w:p>
        </w:tc>
      </w:tr>
      <w:tr w:rsidR="00F06D11">
        <w:tc>
          <w:tcPr>
            <w:tcW w:w="748" w:type="dxa"/>
            <w:tcBorders>
              <w:top w:val="single" w:sz="6" w:space="0" w:color="000000"/>
              <w:left w:val="single" w:sz="6" w:space="0" w:color="000000"/>
              <w:bottom w:val="single" w:sz="6" w:space="0" w:color="000000"/>
              <w:right w:val="single" w:sz="6" w:space="0" w:color="000000"/>
            </w:tcBorders>
          </w:tcPr>
          <w:p w:rsidR="00F06D11" w:rsidRDefault="0038137D">
            <w:pPr>
              <w:keepNext/>
              <w:spacing w:before="63" w:after="63"/>
              <w:ind w:firstLine="0"/>
              <w:jc w:val="left"/>
            </w:pPr>
            <w:r>
              <w:rPr>
                <w:lang w:bidi="ru-RU"/>
              </w:rPr>
              <w:t>2</w:t>
            </w:r>
          </w:p>
        </w:tc>
        <w:tc>
          <w:tcPr>
            <w:tcW w:w="5239" w:type="dxa"/>
            <w:tcBorders>
              <w:top w:val="single" w:sz="6" w:space="0" w:color="000000"/>
              <w:left w:val="single" w:sz="6" w:space="0" w:color="000000"/>
              <w:bottom w:val="single" w:sz="6" w:space="0" w:color="000000"/>
              <w:right w:val="single" w:sz="6" w:space="0" w:color="000000"/>
            </w:tcBorders>
          </w:tcPr>
          <w:p w:rsidR="00F06D11" w:rsidRDefault="00F06D11">
            <w:pPr>
              <w:keepNext/>
              <w:spacing w:before="63" w:after="63"/>
              <w:ind w:firstLine="0"/>
              <w:jc w:val="left"/>
              <w:rPr>
                <w:lang w:bidi="ru-RU"/>
              </w:rPr>
            </w:pPr>
          </w:p>
        </w:tc>
        <w:tc>
          <w:tcPr>
            <w:tcW w:w="3368" w:type="dxa"/>
            <w:tcBorders>
              <w:top w:val="single" w:sz="6" w:space="0" w:color="000000"/>
              <w:left w:val="single" w:sz="6" w:space="0" w:color="000000"/>
              <w:bottom w:val="single" w:sz="6" w:space="0" w:color="000000"/>
              <w:right w:val="single" w:sz="6" w:space="0" w:color="000000"/>
            </w:tcBorders>
          </w:tcPr>
          <w:p w:rsidR="00F06D11" w:rsidRDefault="00F06D11">
            <w:pPr>
              <w:keepNext/>
              <w:spacing w:before="63" w:after="63"/>
              <w:ind w:firstLine="0"/>
              <w:jc w:val="left"/>
              <w:rPr>
                <w:lang w:bidi="ru-RU"/>
              </w:rPr>
            </w:pPr>
          </w:p>
        </w:tc>
      </w:tr>
      <w:tr w:rsidR="00F06D11">
        <w:tc>
          <w:tcPr>
            <w:tcW w:w="748" w:type="dxa"/>
            <w:tcBorders>
              <w:top w:val="single" w:sz="6" w:space="0" w:color="000000"/>
              <w:left w:val="single" w:sz="6" w:space="0" w:color="000000"/>
              <w:bottom w:val="single" w:sz="6" w:space="0" w:color="000000"/>
              <w:right w:val="single" w:sz="6" w:space="0" w:color="000000"/>
            </w:tcBorders>
          </w:tcPr>
          <w:p w:rsidR="00F06D11" w:rsidRDefault="0038137D">
            <w:pPr>
              <w:keepNext/>
              <w:spacing w:before="63" w:after="63"/>
              <w:ind w:firstLine="0"/>
              <w:jc w:val="left"/>
            </w:pPr>
            <w:r>
              <w:rPr>
                <w:lang w:bidi="ru-RU"/>
              </w:rPr>
              <w:t>3</w:t>
            </w:r>
          </w:p>
        </w:tc>
        <w:tc>
          <w:tcPr>
            <w:tcW w:w="5239" w:type="dxa"/>
            <w:tcBorders>
              <w:top w:val="single" w:sz="6" w:space="0" w:color="000000"/>
              <w:left w:val="single" w:sz="6" w:space="0" w:color="000000"/>
              <w:bottom w:val="single" w:sz="6" w:space="0" w:color="000000"/>
              <w:right w:val="single" w:sz="6" w:space="0" w:color="000000"/>
            </w:tcBorders>
          </w:tcPr>
          <w:p w:rsidR="00F06D11" w:rsidRDefault="00F06D11">
            <w:pPr>
              <w:keepNext/>
              <w:spacing w:before="63" w:after="63"/>
              <w:ind w:firstLine="0"/>
              <w:jc w:val="left"/>
              <w:rPr>
                <w:lang w:bidi="ru-RU"/>
              </w:rPr>
            </w:pPr>
          </w:p>
        </w:tc>
        <w:tc>
          <w:tcPr>
            <w:tcW w:w="3368" w:type="dxa"/>
            <w:tcBorders>
              <w:top w:val="single" w:sz="6" w:space="0" w:color="000000"/>
              <w:left w:val="single" w:sz="6" w:space="0" w:color="000000"/>
              <w:bottom w:val="single" w:sz="6" w:space="0" w:color="000000"/>
              <w:right w:val="single" w:sz="6" w:space="0" w:color="000000"/>
            </w:tcBorders>
          </w:tcPr>
          <w:p w:rsidR="00F06D11" w:rsidRDefault="00F06D11">
            <w:pPr>
              <w:keepNext/>
              <w:spacing w:before="63" w:after="63"/>
              <w:ind w:firstLine="0"/>
              <w:jc w:val="left"/>
              <w:rPr>
                <w:lang w:bidi="ru-RU"/>
              </w:rPr>
            </w:pPr>
          </w:p>
        </w:tc>
      </w:tr>
      <w:tr w:rsidR="00F06D11">
        <w:tc>
          <w:tcPr>
            <w:tcW w:w="748" w:type="dxa"/>
            <w:tcBorders>
              <w:top w:val="single" w:sz="6" w:space="0" w:color="000000"/>
              <w:left w:val="single" w:sz="6" w:space="0" w:color="000000"/>
              <w:bottom w:val="single" w:sz="6" w:space="0" w:color="000000"/>
              <w:right w:val="single" w:sz="6" w:space="0" w:color="000000"/>
            </w:tcBorders>
          </w:tcPr>
          <w:p w:rsidR="00F06D11" w:rsidRDefault="0038137D">
            <w:pPr>
              <w:keepNext/>
              <w:spacing w:before="63" w:after="63"/>
              <w:ind w:firstLine="0"/>
              <w:jc w:val="left"/>
            </w:pPr>
            <w:r>
              <w:rPr>
                <w:lang w:bidi="ru-RU"/>
              </w:rPr>
              <w:t>…</w:t>
            </w:r>
          </w:p>
        </w:tc>
        <w:tc>
          <w:tcPr>
            <w:tcW w:w="5239" w:type="dxa"/>
            <w:tcBorders>
              <w:top w:val="single" w:sz="6" w:space="0" w:color="000000"/>
              <w:left w:val="single" w:sz="6" w:space="0" w:color="000000"/>
              <w:bottom w:val="single" w:sz="6" w:space="0" w:color="000000"/>
              <w:right w:val="single" w:sz="6" w:space="0" w:color="000000"/>
            </w:tcBorders>
          </w:tcPr>
          <w:p w:rsidR="00F06D11" w:rsidRDefault="00F06D11">
            <w:pPr>
              <w:keepNext/>
              <w:spacing w:before="63" w:after="63"/>
              <w:ind w:firstLine="0"/>
              <w:jc w:val="left"/>
              <w:rPr>
                <w:lang w:bidi="ru-RU"/>
              </w:rPr>
            </w:pPr>
          </w:p>
        </w:tc>
        <w:tc>
          <w:tcPr>
            <w:tcW w:w="3368" w:type="dxa"/>
            <w:tcBorders>
              <w:top w:val="single" w:sz="6" w:space="0" w:color="000000"/>
              <w:left w:val="single" w:sz="6" w:space="0" w:color="000000"/>
              <w:bottom w:val="single" w:sz="6" w:space="0" w:color="000000"/>
              <w:right w:val="single" w:sz="6" w:space="0" w:color="000000"/>
            </w:tcBorders>
          </w:tcPr>
          <w:p w:rsidR="00F06D11" w:rsidRDefault="00F06D11">
            <w:pPr>
              <w:keepNext/>
              <w:spacing w:before="63" w:after="63"/>
              <w:ind w:firstLine="0"/>
              <w:jc w:val="left"/>
              <w:rPr>
                <w:lang w:bidi="ru-RU"/>
              </w:rPr>
            </w:pPr>
          </w:p>
        </w:tc>
      </w:tr>
    </w:tbl>
    <w:p w:rsidR="00F06D11" w:rsidRDefault="00F06D11">
      <w:pPr>
        <w:rPr>
          <w:lang w:bidi="ru-RU"/>
        </w:rPr>
      </w:pPr>
    </w:p>
    <w:p w:rsidR="00F06D11" w:rsidRDefault="0038137D">
      <w:pPr>
        <w:rPr>
          <w:lang w:bidi="ru-RU"/>
        </w:rPr>
      </w:pPr>
      <w:r>
        <w:t>3. Следующие электронные носители, необходимые для работы:</w:t>
      </w:r>
    </w:p>
    <w:tbl>
      <w:tblPr>
        <w:tblW w:w="5000" w:type="pct"/>
        <w:tblInd w:w="-109" w:type="dxa"/>
        <w:tblLayout w:type="fixed"/>
        <w:tblLook w:val="04A0" w:firstRow="1" w:lastRow="0" w:firstColumn="1" w:lastColumn="0" w:noHBand="0" w:noVBand="1"/>
      </w:tblPr>
      <w:tblGrid>
        <w:gridCol w:w="765"/>
        <w:gridCol w:w="5360"/>
        <w:gridCol w:w="3446"/>
      </w:tblGrid>
      <w:tr w:rsidR="00F06D11">
        <w:tc>
          <w:tcPr>
            <w:tcW w:w="748"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 п/п</w:t>
            </w:r>
          </w:p>
        </w:tc>
        <w:tc>
          <w:tcPr>
            <w:tcW w:w="5239"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Описание электронных носителей</w:t>
            </w:r>
          </w:p>
        </w:tc>
        <w:tc>
          <w:tcPr>
            <w:tcW w:w="3368"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Количество</w:t>
            </w:r>
          </w:p>
        </w:tc>
      </w:tr>
      <w:tr w:rsidR="00F06D11">
        <w:tc>
          <w:tcPr>
            <w:tcW w:w="748"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left"/>
            </w:pPr>
            <w:r>
              <w:rPr>
                <w:lang w:bidi="ru-RU"/>
              </w:rPr>
              <w:t>1</w:t>
            </w:r>
          </w:p>
        </w:tc>
        <w:tc>
          <w:tcPr>
            <w:tcW w:w="5239"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3368"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r>
      <w:tr w:rsidR="00F06D11">
        <w:tc>
          <w:tcPr>
            <w:tcW w:w="748"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left"/>
            </w:pPr>
            <w:r>
              <w:rPr>
                <w:lang w:bidi="ru-RU"/>
              </w:rPr>
              <w:t>2</w:t>
            </w:r>
          </w:p>
        </w:tc>
        <w:tc>
          <w:tcPr>
            <w:tcW w:w="5239"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3368"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r>
      <w:tr w:rsidR="00F06D11">
        <w:tc>
          <w:tcPr>
            <w:tcW w:w="748"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left"/>
            </w:pPr>
            <w:r>
              <w:rPr>
                <w:lang w:bidi="ru-RU"/>
              </w:rPr>
              <w:t>3</w:t>
            </w:r>
          </w:p>
        </w:tc>
        <w:tc>
          <w:tcPr>
            <w:tcW w:w="5239"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3368"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r>
      <w:tr w:rsidR="00F06D11">
        <w:tc>
          <w:tcPr>
            <w:tcW w:w="748"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left"/>
            </w:pPr>
            <w:r>
              <w:rPr>
                <w:lang w:bidi="ru-RU"/>
              </w:rPr>
              <w:t>…</w:t>
            </w:r>
          </w:p>
        </w:tc>
        <w:tc>
          <w:tcPr>
            <w:tcW w:w="5239"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3368"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r>
    </w:tbl>
    <w:p w:rsidR="00F06D11" w:rsidRDefault="0038137D">
      <w:r>
        <w:t xml:space="preserve">4. Ключи от сейфов: </w:t>
      </w:r>
      <w:r>
        <w:rPr>
          <w:u w:val="single"/>
        </w:rPr>
        <w:t>    (точное описание сейфов и мест их расположения)    </w:t>
      </w:r>
      <w:r>
        <w:t>.</w:t>
      </w:r>
    </w:p>
    <w:p w:rsidR="00F06D11" w:rsidRDefault="0038137D">
      <w:r>
        <w:t>5. Следующие печати и штампы:</w:t>
      </w:r>
    </w:p>
    <w:tbl>
      <w:tblPr>
        <w:tblW w:w="5000" w:type="pct"/>
        <w:tblInd w:w="-109" w:type="dxa"/>
        <w:tblLayout w:type="fixed"/>
        <w:tblLook w:val="04A0" w:firstRow="1" w:lastRow="0" w:firstColumn="1" w:lastColumn="0" w:noHBand="0" w:noVBand="1"/>
      </w:tblPr>
      <w:tblGrid>
        <w:gridCol w:w="765"/>
        <w:gridCol w:w="5360"/>
        <w:gridCol w:w="3446"/>
      </w:tblGrid>
      <w:tr w:rsidR="00F06D11">
        <w:tc>
          <w:tcPr>
            <w:tcW w:w="748"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t> </w:t>
            </w:r>
            <w:r>
              <w:rPr>
                <w:lang w:bidi="ru-RU"/>
              </w:rPr>
              <w:t>№ п/п</w:t>
            </w:r>
          </w:p>
        </w:tc>
        <w:tc>
          <w:tcPr>
            <w:tcW w:w="5239"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Описание печатей и штампов</w:t>
            </w:r>
          </w:p>
        </w:tc>
        <w:tc>
          <w:tcPr>
            <w:tcW w:w="3368"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Количество</w:t>
            </w:r>
          </w:p>
        </w:tc>
      </w:tr>
      <w:tr w:rsidR="00F06D11">
        <w:tc>
          <w:tcPr>
            <w:tcW w:w="748"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left"/>
            </w:pPr>
            <w:r>
              <w:rPr>
                <w:lang w:bidi="ru-RU"/>
              </w:rPr>
              <w:t>1</w:t>
            </w:r>
          </w:p>
        </w:tc>
        <w:tc>
          <w:tcPr>
            <w:tcW w:w="5239"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3368"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r>
      <w:tr w:rsidR="00F06D11">
        <w:tc>
          <w:tcPr>
            <w:tcW w:w="748"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left"/>
            </w:pPr>
            <w:r>
              <w:rPr>
                <w:lang w:bidi="ru-RU"/>
              </w:rPr>
              <w:t>2</w:t>
            </w:r>
          </w:p>
        </w:tc>
        <w:tc>
          <w:tcPr>
            <w:tcW w:w="5239"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3368"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r>
      <w:tr w:rsidR="00F06D11">
        <w:tc>
          <w:tcPr>
            <w:tcW w:w="748"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left"/>
            </w:pPr>
            <w:r>
              <w:rPr>
                <w:lang w:bidi="ru-RU"/>
              </w:rPr>
              <w:t>3</w:t>
            </w:r>
          </w:p>
        </w:tc>
        <w:tc>
          <w:tcPr>
            <w:tcW w:w="5239"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3368"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r>
      <w:tr w:rsidR="00F06D11">
        <w:tc>
          <w:tcPr>
            <w:tcW w:w="748"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left"/>
            </w:pPr>
            <w:r>
              <w:rPr>
                <w:lang w:bidi="ru-RU"/>
              </w:rPr>
              <w:t>…</w:t>
            </w:r>
          </w:p>
        </w:tc>
        <w:tc>
          <w:tcPr>
            <w:tcW w:w="5239"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3368"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r>
    </w:tbl>
    <w:p w:rsidR="00F06D11" w:rsidRDefault="0038137D">
      <w:pPr>
        <w:rPr>
          <w:lang w:bidi="ru-RU"/>
        </w:rPr>
      </w:pPr>
      <w:r>
        <w:t>6. Следующие чековые книжки:</w:t>
      </w:r>
    </w:p>
    <w:tbl>
      <w:tblPr>
        <w:tblW w:w="5000" w:type="pct"/>
        <w:tblInd w:w="-109" w:type="dxa"/>
        <w:tblLayout w:type="fixed"/>
        <w:tblLook w:val="04A0" w:firstRow="1" w:lastRow="0" w:firstColumn="1" w:lastColumn="0" w:noHBand="0" w:noVBand="1"/>
      </w:tblPr>
      <w:tblGrid>
        <w:gridCol w:w="765"/>
        <w:gridCol w:w="5360"/>
        <w:gridCol w:w="3446"/>
      </w:tblGrid>
      <w:tr w:rsidR="00F06D11">
        <w:tc>
          <w:tcPr>
            <w:tcW w:w="748"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 п/п</w:t>
            </w:r>
          </w:p>
        </w:tc>
        <w:tc>
          <w:tcPr>
            <w:tcW w:w="5239"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Наименование учреждения, выдавшего чековую книжку</w:t>
            </w:r>
          </w:p>
        </w:tc>
        <w:tc>
          <w:tcPr>
            <w:tcW w:w="3368"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Номера неиспользованных чеков в чековой книжке</w:t>
            </w:r>
          </w:p>
        </w:tc>
      </w:tr>
      <w:tr w:rsidR="00F06D11">
        <w:tc>
          <w:tcPr>
            <w:tcW w:w="748"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left"/>
            </w:pPr>
            <w:r>
              <w:rPr>
                <w:lang w:bidi="ru-RU"/>
              </w:rPr>
              <w:t>1</w:t>
            </w:r>
          </w:p>
        </w:tc>
        <w:tc>
          <w:tcPr>
            <w:tcW w:w="5239"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3368"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r>
      <w:tr w:rsidR="00F06D11">
        <w:tc>
          <w:tcPr>
            <w:tcW w:w="748"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left"/>
            </w:pPr>
            <w:r>
              <w:rPr>
                <w:lang w:bidi="ru-RU"/>
              </w:rPr>
              <w:t>2</w:t>
            </w:r>
          </w:p>
        </w:tc>
        <w:tc>
          <w:tcPr>
            <w:tcW w:w="5239"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3368"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r>
      <w:tr w:rsidR="00F06D11">
        <w:tc>
          <w:tcPr>
            <w:tcW w:w="748"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left"/>
            </w:pPr>
            <w:r>
              <w:rPr>
                <w:lang w:bidi="ru-RU"/>
              </w:rPr>
              <w:t>3</w:t>
            </w:r>
          </w:p>
        </w:tc>
        <w:tc>
          <w:tcPr>
            <w:tcW w:w="5239"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3368"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r>
      <w:tr w:rsidR="00F06D11">
        <w:tc>
          <w:tcPr>
            <w:tcW w:w="748"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left"/>
            </w:pPr>
            <w:r>
              <w:rPr>
                <w:lang w:bidi="ru-RU"/>
              </w:rPr>
              <w:t>…</w:t>
            </w:r>
          </w:p>
        </w:tc>
        <w:tc>
          <w:tcPr>
            <w:tcW w:w="5239"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3368"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r>
    </w:tbl>
    <w:p w:rsidR="00F06D11" w:rsidRDefault="0038137D">
      <w:pPr>
        <w:rPr>
          <w:u w:val="single"/>
        </w:rPr>
      </w:pPr>
      <w:r>
        <w:t>Доведена следующая информация о проблемах, нерешенных делах, возможных или имеющих место претензиях контролирующих органов и иных аналогичных вопросах:</w:t>
      </w:r>
    </w:p>
    <w:p w:rsidR="00F06D11" w:rsidRDefault="0038137D">
      <w:r>
        <w:rPr>
          <w:u w:val="single"/>
        </w:rPr>
        <w:t>                                                                                                                                                                                                                                                                                                                                                                                                                                                                                                       </w:t>
      </w:r>
      <w:r>
        <w:t>.</w:t>
      </w:r>
    </w:p>
    <w:p w:rsidR="00F06D11" w:rsidRDefault="0038137D">
      <w:pPr>
        <w:rPr>
          <w:u w:val="single"/>
        </w:rPr>
      </w:pPr>
      <w:r>
        <w:t>В процессе передачи документов и дел выявлены следующие существенные недостатки и нарушения в организации работы по ведению учета:</w:t>
      </w:r>
    </w:p>
    <w:p w:rsidR="00F06D11" w:rsidRDefault="0038137D">
      <w:r>
        <w:rPr>
          <w:u w:val="single"/>
        </w:rPr>
        <w:t>                                                                                                                                                                                                                                                                                                                                                                                                                                                                                                         </w:t>
      </w:r>
      <w:r>
        <w:t>.</w:t>
      </w:r>
    </w:p>
    <w:p w:rsidR="00F06D11" w:rsidRDefault="0038137D">
      <w:pPr>
        <w:rPr>
          <w:u w:val="single"/>
        </w:rPr>
      </w:pPr>
      <w:r>
        <w:t>Передающим лицом даны следующие пояснения:</w:t>
      </w:r>
    </w:p>
    <w:p w:rsidR="00F06D11" w:rsidRDefault="0038137D">
      <w:r>
        <w:rPr>
          <w:u w:val="single"/>
        </w:rPr>
        <w:t>                                                                                                                                                                                                                                                                                                                                                                                                                                                                                                         </w:t>
      </w:r>
      <w:r>
        <w:t>.</w:t>
      </w:r>
    </w:p>
    <w:p w:rsidR="00F06D11" w:rsidRDefault="0038137D">
      <w:pPr>
        <w:rPr>
          <w:u w:val="single"/>
        </w:rPr>
      </w:pPr>
      <w:r>
        <w:t>Дополнения (примечания, рекомендации, предложения):</w:t>
      </w:r>
    </w:p>
    <w:p w:rsidR="00F06D11" w:rsidRDefault="0038137D">
      <w:r>
        <w:rPr>
          <w:u w:val="single"/>
        </w:rPr>
        <w:t>                                                                                                                                                                                                                                                                                                                                                                                                                                                                                                                                                                                                                                                                                                                                                                                                                                                                                                                                                                                                                  </w:t>
      </w:r>
      <w:r>
        <w:t>.</w:t>
      </w:r>
    </w:p>
    <w:p w:rsidR="00F06D11" w:rsidRDefault="0038137D">
      <w:r>
        <w:t>Приложения к акту:</w:t>
      </w:r>
    </w:p>
    <w:p w:rsidR="00F06D11" w:rsidRDefault="0038137D">
      <w:r>
        <w:t xml:space="preserve">1. </w:t>
      </w:r>
      <w:r>
        <w:rPr>
          <w:u w:val="single"/>
        </w:rPr>
        <w:t>                                                                                                                                   </w:t>
      </w:r>
    </w:p>
    <w:p w:rsidR="00F06D11" w:rsidRDefault="0038137D">
      <w:r>
        <w:t xml:space="preserve">2. </w:t>
      </w:r>
      <w:r>
        <w:rPr>
          <w:u w:val="single"/>
        </w:rPr>
        <w:t>                                                                                                                                   </w:t>
      </w:r>
    </w:p>
    <w:p w:rsidR="00F06D11" w:rsidRDefault="0038137D">
      <w:r>
        <w:t xml:space="preserve">3. </w:t>
      </w:r>
      <w:r>
        <w:rPr>
          <w:u w:val="single"/>
        </w:rPr>
        <w:t>                                                                                                                                   </w:t>
      </w:r>
    </w:p>
    <w:p w:rsidR="00F06D11" w:rsidRDefault="0038137D">
      <w:r>
        <w:t>Подписи лиц, составивших акт:</w:t>
      </w:r>
    </w:p>
    <w:p w:rsidR="00F06D11" w:rsidRDefault="0038137D">
      <w:pPr>
        <w:rPr>
          <w:u w:val="single"/>
        </w:rPr>
      </w:pPr>
      <w:r>
        <w:t>Передал:</w:t>
      </w:r>
    </w:p>
    <w:p w:rsidR="00F06D11" w:rsidRDefault="0038137D">
      <w:r>
        <w:rPr>
          <w:u w:val="single"/>
        </w:rPr>
        <w:t>      (должность)        </w:t>
      </w:r>
      <w:r>
        <w:t> </w:t>
      </w:r>
      <w:r>
        <w:rPr>
          <w:u w:val="single"/>
        </w:rPr>
        <w:t>        (подпись)          </w:t>
      </w:r>
      <w:r>
        <w:t> </w:t>
      </w:r>
      <w:r>
        <w:rPr>
          <w:u w:val="single"/>
        </w:rPr>
        <w:t>    (фамилия, инициалы)    </w:t>
      </w:r>
    </w:p>
    <w:p w:rsidR="00F06D11" w:rsidRDefault="0038137D">
      <w:pPr>
        <w:rPr>
          <w:u w:val="single"/>
        </w:rPr>
      </w:pPr>
      <w:r>
        <w:t>Принял:</w:t>
      </w:r>
    </w:p>
    <w:p w:rsidR="00F06D11" w:rsidRDefault="0038137D">
      <w:r>
        <w:rPr>
          <w:u w:val="single"/>
        </w:rPr>
        <w:t>      (должность)        </w:t>
      </w:r>
      <w:r>
        <w:t xml:space="preserve"> </w:t>
      </w:r>
      <w:r>
        <w:rPr>
          <w:u w:val="single"/>
        </w:rPr>
        <w:t>        (подпись)          </w:t>
      </w:r>
      <w:r>
        <w:t> </w:t>
      </w:r>
      <w:r>
        <w:rPr>
          <w:u w:val="single"/>
        </w:rPr>
        <w:t>    (фамилия, инициалы)    </w:t>
      </w:r>
    </w:p>
    <w:p w:rsidR="00F06D11" w:rsidRDefault="0038137D">
      <w:pPr>
        <w:rPr>
          <w:u w:val="single"/>
        </w:rPr>
      </w:pPr>
      <w:r>
        <w:t>Председатель комиссии:</w:t>
      </w:r>
    </w:p>
    <w:p w:rsidR="00F06D11" w:rsidRDefault="0038137D">
      <w:r>
        <w:rPr>
          <w:u w:val="single"/>
        </w:rPr>
        <w:t>      (должность)        </w:t>
      </w:r>
      <w:r>
        <w:t xml:space="preserve"> </w:t>
      </w:r>
      <w:r>
        <w:rPr>
          <w:u w:val="single"/>
        </w:rPr>
        <w:t>        (подпись)          </w:t>
      </w:r>
      <w:r>
        <w:t> </w:t>
      </w:r>
      <w:r>
        <w:rPr>
          <w:u w:val="single"/>
        </w:rPr>
        <w:t>    (фамилия, инициалы)    </w:t>
      </w:r>
    </w:p>
    <w:p w:rsidR="00F06D11" w:rsidRDefault="0038137D">
      <w:pPr>
        <w:rPr>
          <w:u w:val="single"/>
        </w:rPr>
      </w:pPr>
      <w:r>
        <w:t>Члены комиссии:</w:t>
      </w:r>
    </w:p>
    <w:p w:rsidR="00F06D11" w:rsidRDefault="0038137D">
      <w:pPr>
        <w:rPr>
          <w:u w:val="single"/>
        </w:rPr>
      </w:pPr>
      <w:r>
        <w:rPr>
          <w:u w:val="single"/>
        </w:rPr>
        <w:t>      (должность)        </w:t>
      </w:r>
      <w:r>
        <w:t xml:space="preserve"> </w:t>
      </w:r>
      <w:r>
        <w:rPr>
          <w:u w:val="single"/>
        </w:rPr>
        <w:t>        (подпись)          </w:t>
      </w:r>
      <w:r>
        <w:t> </w:t>
      </w:r>
      <w:r>
        <w:rPr>
          <w:u w:val="single"/>
        </w:rPr>
        <w:t>    (фамилия, инициалы)    </w:t>
      </w:r>
    </w:p>
    <w:p w:rsidR="00F06D11" w:rsidRDefault="0038137D">
      <w:r>
        <w:rPr>
          <w:u w:val="single"/>
        </w:rPr>
        <w:t>      (должность)        </w:t>
      </w:r>
      <w:r>
        <w:t xml:space="preserve"> </w:t>
      </w:r>
      <w:r>
        <w:rPr>
          <w:u w:val="single"/>
        </w:rPr>
        <w:t>        (подпись)          </w:t>
      </w:r>
      <w:r>
        <w:t> </w:t>
      </w:r>
      <w:r>
        <w:rPr>
          <w:u w:val="single"/>
        </w:rPr>
        <w:t>    (фамилия, инициалы)    </w:t>
      </w:r>
    </w:p>
    <w:p w:rsidR="00F06D11" w:rsidRDefault="0038137D">
      <w:pPr>
        <w:rPr>
          <w:u w:val="single"/>
        </w:rPr>
      </w:pPr>
      <w:r>
        <w:t>Представитель:</w:t>
      </w:r>
    </w:p>
    <w:p w:rsidR="00F06D11" w:rsidRDefault="0038137D">
      <w:r>
        <w:rPr>
          <w:u w:val="single"/>
        </w:rPr>
        <w:t>      (должность)        </w:t>
      </w:r>
      <w:r>
        <w:t xml:space="preserve"> </w:t>
      </w:r>
      <w:r>
        <w:rPr>
          <w:u w:val="single"/>
        </w:rPr>
        <w:t>        (подпись)          </w:t>
      </w:r>
      <w:r>
        <w:t> </w:t>
      </w:r>
      <w:r>
        <w:rPr>
          <w:u w:val="single"/>
        </w:rPr>
        <w:t>    (фамилия, инициалы)    </w:t>
      </w:r>
    </w:p>
    <w:p w:rsidR="00F06D11" w:rsidRDefault="0038137D">
      <w:pPr>
        <w:jc w:val="center"/>
      </w:pPr>
      <w:r>
        <w:t>Оборот последнего листа</w:t>
      </w:r>
    </w:p>
    <w:p w:rsidR="00F06D11" w:rsidRDefault="0038137D">
      <w:pPr>
        <w:rPr>
          <w:u w:val="single"/>
        </w:rPr>
      </w:pPr>
      <w:r>
        <w:t xml:space="preserve">В настоящем акте пронумеровано, прошнуровано и заверено печатью </w:t>
      </w:r>
      <w:r>
        <w:rPr>
          <w:u w:val="single"/>
        </w:rPr>
        <w:t>                    </w:t>
      </w:r>
      <w:r>
        <w:t xml:space="preserve"> листов.</w:t>
      </w:r>
    </w:p>
    <w:p w:rsidR="00F06D11" w:rsidRDefault="0038137D">
      <w:r>
        <w:rPr>
          <w:u w:val="single"/>
        </w:rPr>
        <w:t>    (должность председателя комиссии)    </w:t>
      </w:r>
      <w:r>
        <w:t> </w:t>
      </w:r>
      <w:r>
        <w:rPr>
          <w:i/>
          <w:u w:val="single"/>
        </w:rPr>
        <w:t>        (подпись)          </w:t>
      </w:r>
      <w:r>
        <w:rPr>
          <w:i/>
        </w:rPr>
        <w:t> </w:t>
      </w:r>
      <w:r>
        <w:rPr>
          <w:u w:val="single"/>
        </w:rPr>
        <w:t>    (фамилия, инициалы)    </w:t>
      </w:r>
    </w:p>
    <w:p w:rsidR="00F06D11" w:rsidRDefault="0038137D">
      <w:r>
        <w:t>"</w:t>
      </w:r>
      <w:r>
        <w:rPr>
          <w:u w:val="single"/>
        </w:rPr>
        <w:t>        </w:t>
      </w:r>
      <w:r>
        <w:t xml:space="preserve">" </w:t>
      </w:r>
      <w:r>
        <w:rPr>
          <w:u w:val="single"/>
        </w:rPr>
        <w:t>                      </w:t>
      </w:r>
      <w:r>
        <w:t xml:space="preserve"> 20</w:t>
      </w:r>
      <w:r>
        <w:rPr>
          <w:u w:val="single"/>
        </w:rPr>
        <w:t>        </w:t>
      </w:r>
      <w:r>
        <w:t>г.</w:t>
      </w:r>
    </w:p>
    <w:p w:rsidR="00F06D11" w:rsidRDefault="0038137D">
      <w:pPr>
        <w:sectPr w:rsidR="00F06D11">
          <w:headerReference w:type="even" r:id="rId197"/>
          <w:headerReference w:type="default" r:id="rId198"/>
          <w:footerReference w:type="even" r:id="rId199"/>
          <w:footerReference w:type="default" r:id="rId200"/>
          <w:headerReference w:type="first" r:id="rId201"/>
          <w:footerReference w:type="first" r:id="rId202"/>
          <w:pgSz w:w="11906" w:h="16838"/>
          <w:pgMar w:top="766" w:right="850" w:bottom="766" w:left="1701" w:header="709" w:footer="709" w:gutter="0"/>
          <w:pgNumType w:start="35"/>
          <w:cols w:space="720"/>
          <w:formProt w:val="0"/>
          <w:titlePg/>
          <w:docGrid w:linePitch="360"/>
        </w:sectPr>
      </w:pPr>
      <w:r>
        <w:t>М.П.</w:t>
      </w:r>
    </w:p>
    <w:p w:rsidR="00F06D11" w:rsidRDefault="0038137D">
      <w:pPr>
        <w:keepNext/>
        <w:keepLines/>
        <w:spacing w:before="6" w:after="6"/>
        <w:ind w:left="5669" w:firstLine="0"/>
        <w:jc w:val="left"/>
      </w:pPr>
      <w:r>
        <w:t>Приложение № 8</w:t>
      </w:r>
      <w:r>
        <w:br w:type="textWrapping" w:clear="all"/>
        <w:t>к Учетной политике</w:t>
      </w:r>
      <w:r>
        <w:br w:type="textWrapping" w:clear="all"/>
        <w:t xml:space="preserve">Исполнительного комитета </w:t>
      </w:r>
    </w:p>
    <w:p w:rsidR="00F06D11" w:rsidRDefault="0038137D">
      <w:pPr>
        <w:keepNext/>
        <w:keepLines/>
        <w:spacing w:before="6" w:after="6"/>
        <w:ind w:left="5669" w:firstLine="0"/>
        <w:jc w:val="left"/>
      </w:pPr>
      <w:r>
        <w:t>муниципального образования</w:t>
      </w:r>
    </w:p>
    <w:p w:rsidR="00F06D11" w:rsidRDefault="0038137D">
      <w:pPr>
        <w:spacing w:before="6" w:after="6"/>
        <w:ind w:left="5669" w:firstLine="0"/>
        <w:jc w:val="left"/>
      </w:pPr>
      <w:r>
        <w:t xml:space="preserve"> город Набережные Челны</w:t>
      </w:r>
    </w:p>
    <w:p w:rsidR="00F06D11" w:rsidRDefault="00620920" w:rsidP="00620920">
      <w:pPr>
        <w:spacing w:before="6" w:after="6"/>
        <w:ind w:left="5669" w:firstLine="0"/>
        <w:jc w:val="left"/>
        <w:rPr>
          <w:b/>
          <w:spacing w:val="5"/>
          <w:sz w:val="28"/>
          <w:szCs w:val="52"/>
        </w:rPr>
      </w:pPr>
      <w:r w:rsidRPr="00620920">
        <w:rPr>
          <w:rFonts w:eastAsia="Calibri"/>
        </w:rPr>
        <w:t>от «30»_12_2025 №3142-р</w:t>
      </w:r>
    </w:p>
    <w:p w:rsidR="00F06D11" w:rsidRDefault="00F06D11">
      <w:pPr>
        <w:spacing w:before="0" w:after="0" w:line="240" w:lineRule="auto"/>
        <w:ind w:firstLine="709"/>
        <w:jc w:val="center"/>
        <w:outlineLvl w:val="0"/>
        <w:rPr>
          <w:b/>
          <w:spacing w:val="5"/>
          <w:sz w:val="28"/>
          <w:szCs w:val="52"/>
        </w:rPr>
      </w:pPr>
    </w:p>
    <w:p w:rsidR="00F06D11" w:rsidRDefault="0038137D">
      <w:pPr>
        <w:spacing w:before="0" w:after="0" w:line="240" w:lineRule="auto"/>
        <w:ind w:firstLine="709"/>
        <w:jc w:val="center"/>
        <w:outlineLvl w:val="0"/>
      </w:pPr>
      <w:r>
        <w:rPr>
          <w:spacing w:val="5"/>
        </w:rPr>
        <w:t>Порядок выдачи под отчет денежных средств, составления и представления отчетов подотчетными лицами</w:t>
      </w:r>
    </w:p>
    <w:p w:rsidR="00F06D11" w:rsidRDefault="00F06D11">
      <w:pPr>
        <w:spacing w:before="0" w:after="0" w:line="240" w:lineRule="auto"/>
        <w:ind w:firstLine="709"/>
        <w:jc w:val="center"/>
        <w:outlineLvl w:val="0"/>
      </w:pPr>
    </w:p>
    <w:p w:rsidR="00F06D11" w:rsidRDefault="0038137D">
      <w:pPr>
        <w:spacing w:before="0" w:line="283" w:lineRule="exact"/>
        <w:ind w:firstLine="709"/>
        <w:contextualSpacing/>
        <w:jc w:val="center"/>
        <w:outlineLvl w:val="0"/>
      </w:pPr>
      <w:r>
        <w:t>ГЛАВА 1. Общие положения</w:t>
      </w:r>
    </w:p>
    <w:p w:rsidR="00F06D11" w:rsidRDefault="00F06D11">
      <w:pPr>
        <w:spacing w:before="0" w:line="283" w:lineRule="exact"/>
        <w:ind w:firstLine="709"/>
        <w:contextualSpacing/>
        <w:jc w:val="center"/>
        <w:outlineLvl w:val="0"/>
      </w:pPr>
    </w:p>
    <w:p w:rsidR="00F06D11" w:rsidRDefault="0038137D">
      <w:pPr>
        <w:spacing w:before="0" w:line="283" w:lineRule="exact"/>
        <w:ind w:firstLine="709"/>
        <w:contextualSpacing/>
        <w:outlineLvl w:val="1"/>
      </w:pPr>
      <w:r>
        <w:t>1. Порядок устанавливает единые правила расчетов с подотчетными лицами.</w:t>
      </w:r>
    </w:p>
    <w:p w:rsidR="00F06D11" w:rsidRDefault="0038137D">
      <w:pPr>
        <w:spacing w:before="0" w:after="0" w:line="283" w:lineRule="exact"/>
        <w:ind w:firstLine="709"/>
        <w:contextualSpacing/>
        <w:outlineLvl w:val="1"/>
      </w:pPr>
      <w:r>
        <w:t xml:space="preserve">2. Настоящий порядок разработан в соотвествии с  </w:t>
      </w:r>
      <w:hyperlink r:id="rId203" w:tgtFrame="https://cloud.consultant.ru/cloud/cgi/online.cgi?req=doc&amp;amp;base=LAW&amp;amp;n=473304&amp;amp;date=27.05.2025&amp;amp;last=1">
        <w:r>
          <w:rPr>
            <w:rStyle w:val="af0"/>
            <w:color w:val="auto"/>
            <w:u w:val="none"/>
          </w:rPr>
          <w:t>Указание</w:t>
        </w:r>
      </w:hyperlink>
      <w:r>
        <w:t xml:space="preserve">м № 3210-У, </w:t>
      </w:r>
      <w:hyperlink r:id="rId204" w:tgtFrame="https://cloud.consultant.ru/cloud/cgi/online.cgi?req=doc&amp;amp;base=LAW&amp;amp;n=486219&amp;amp;fld=134&amp;amp;dst=100012&amp;amp;date=10.09.2025&amp;amp;last=1">
        <w:r>
          <w:rPr>
            <w:rStyle w:val="af0"/>
            <w:color w:val="auto"/>
            <w:u w:val="none"/>
          </w:rPr>
          <w:t>Стандарт</w:t>
        </w:r>
      </w:hyperlink>
      <w:r>
        <w:t xml:space="preserve">ом "Единый план счетов", </w:t>
      </w:r>
      <w:hyperlink r:id="rId205" w:tgtFrame="https://cloud.consultant.ru/cloud/cgi/online.cgi?req=doc&amp;amp;base=LAW&amp;amp;n=362627&amp;amp;date=27.05.2025&amp;amp;last=1">
        <w:r>
          <w:rPr>
            <w:rStyle w:val="af0"/>
            <w:color w:val="auto"/>
            <w:u w:val="none"/>
          </w:rPr>
          <w:t>Приказ</w:t>
        </w:r>
      </w:hyperlink>
      <w:r>
        <w:t xml:space="preserve">ом Минфина России № 52н, </w:t>
      </w:r>
      <w:hyperlink r:id="rId206" w:tgtFrame="https://cloud.consultant.ru/cloud/cgi/online.cgi?req=doc&amp;amp;base=LAW&amp;amp;n=497176&amp;amp;date=27.05.2025&amp;amp;last=1">
        <w:r>
          <w:rPr>
            <w:rStyle w:val="af0"/>
            <w:color w:val="auto"/>
            <w:u w:val="none"/>
          </w:rPr>
          <w:t>Приказ</w:t>
        </w:r>
      </w:hyperlink>
      <w:r>
        <w:t xml:space="preserve">ом Минфина России № 61н, </w:t>
      </w:r>
      <w:hyperlink r:id="rId207" w:tgtFrame="https://cloud.consultant.ru/cloud/cgi/online.cgi?req=doc&amp;amp;base=LAW&amp;amp;n=503406&amp;amp;fld=134&amp;amp;dst=100018&amp;amp;date=20.08.2025&amp;amp;last=1">
        <w:r>
          <w:rPr>
            <w:rStyle w:val="af0"/>
            <w:color w:val="auto"/>
            <w:u w:val="none"/>
          </w:rPr>
          <w:t>Положение</w:t>
        </w:r>
      </w:hyperlink>
      <w:r>
        <w:t>м об особенностях направления работников в служебные командировки, утвержденное Постановлением Правительства Российской Федерации от 16.04.2025 № 501.</w:t>
      </w:r>
    </w:p>
    <w:p w:rsidR="00F06D11" w:rsidRDefault="00F06D11">
      <w:pPr>
        <w:spacing w:before="0" w:after="0" w:line="283" w:lineRule="exact"/>
        <w:ind w:firstLine="709"/>
        <w:contextualSpacing/>
        <w:outlineLvl w:val="1"/>
      </w:pPr>
    </w:p>
    <w:p w:rsidR="00F06D11" w:rsidRDefault="0038137D">
      <w:pPr>
        <w:spacing w:before="0" w:after="0" w:line="283" w:lineRule="exact"/>
        <w:ind w:firstLine="709"/>
        <w:contextualSpacing/>
        <w:jc w:val="center"/>
        <w:outlineLvl w:val="0"/>
      </w:pPr>
      <w:r>
        <w:t>ГЛАВА 2. Порядок выдачи денежных средств под отчет</w:t>
      </w:r>
    </w:p>
    <w:p w:rsidR="00F06D11" w:rsidRDefault="00F06D11">
      <w:pPr>
        <w:spacing w:before="0" w:after="0" w:line="283" w:lineRule="exact"/>
        <w:ind w:firstLine="709"/>
        <w:contextualSpacing/>
        <w:jc w:val="center"/>
        <w:outlineLvl w:val="0"/>
      </w:pPr>
    </w:p>
    <w:p w:rsidR="00F06D11" w:rsidRDefault="0038137D">
      <w:pPr>
        <w:spacing w:before="0" w:after="0" w:line="283" w:lineRule="exact"/>
        <w:ind w:firstLine="709"/>
        <w:contextualSpacing/>
        <w:outlineLvl w:val="1"/>
      </w:pPr>
      <w:r>
        <w:t>3. Денежные средства выдаются (перечисляются) под отчет:</w:t>
      </w:r>
    </w:p>
    <w:p w:rsidR="00F06D11" w:rsidRDefault="0038137D">
      <w:pPr>
        <w:spacing w:before="0" w:line="283" w:lineRule="exact"/>
        <w:ind w:firstLine="709"/>
        <w:contextualSpacing/>
      </w:pPr>
      <w:r>
        <w:t>1) на административно-хозяйственные нужды;</w:t>
      </w:r>
    </w:p>
    <w:p w:rsidR="00F06D11" w:rsidRDefault="0038137D">
      <w:pPr>
        <w:spacing w:before="0" w:line="283" w:lineRule="exact"/>
        <w:ind w:firstLine="709"/>
        <w:contextualSpacing/>
      </w:pPr>
      <w:r>
        <w:t>2) покрытие (возмещение) затрат, связанных со служебными командировками;</w:t>
      </w:r>
    </w:p>
    <w:p w:rsidR="00F06D11" w:rsidRDefault="0038137D">
      <w:pPr>
        <w:spacing w:before="0" w:line="283" w:lineRule="exact"/>
        <w:ind w:firstLine="709"/>
        <w:contextualSpacing/>
      </w:pPr>
      <w:r>
        <w:t>3) выдача заработной платы, сотрудникам (новым) не имеющих банковские карты;</w:t>
      </w:r>
    </w:p>
    <w:p w:rsidR="00F06D11" w:rsidRDefault="0038137D">
      <w:pPr>
        <w:spacing w:before="0" w:line="283" w:lineRule="exact"/>
        <w:ind w:firstLine="709"/>
        <w:contextualSpacing/>
      </w:pPr>
      <w:r>
        <w:t xml:space="preserve">4)расходы по прочим социальным мероприятиям. </w:t>
      </w:r>
    </w:p>
    <w:p w:rsidR="00F06D11" w:rsidRDefault="0038137D">
      <w:pPr>
        <w:spacing w:before="0" w:line="283" w:lineRule="exact"/>
        <w:ind w:firstLine="709"/>
        <w:contextualSpacing/>
        <w:outlineLvl w:val="1"/>
      </w:pPr>
      <w:r>
        <w:t>4. Авансы на хозяйственные и командировочные расходы выдаются непосредственно муниципальным служащим или лицам, работающих на должностях по техническому обеспечению деятельности Исполнительного комитета. Полученные под отчет денежные средства используются строго по целевому назначению.</w:t>
      </w:r>
    </w:p>
    <w:p w:rsidR="00F06D11" w:rsidRDefault="0038137D">
      <w:pPr>
        <w:spacing w:before="0" w:line="283" w:lineRule="exact"/>
        <w:ind w:firstLine="709"/>
        <w:contextualSpacing/>
        <w:outlineLvl w:val="1"/>
      </w:pPr>
      <w:r>
        <w:t>5. Сумма денежных средств, выдаваемых под отчет одному лицу на административно-хозяйственные нужды, с учетом перерасхода не может превышать 100 000 (сто тысяч) руб.</w:t>
      </w:r>
    </w:p>
    <w:p w:rsidR="00F06D11" w:rsidRDefault="0038137D">
      <w:pPr>
        <w:spacing w:before="0" w:line="283" w:lineRule="exact"/>
        <w:ind w:firstLine="709"/>
        <w:contextualSpacing/>
        <w:outlineLvl w:val="1"/>
      </w:pPr>
      <w:r>
        <w:t>6. Денежные средства под отчет на административно-хозяйственные нужды выдаются из кассы наличными денежными средствами.</w:t>
      </w:r>
    </w:p>
    <w:p w:rsidR="00F06D11" w:rsidRDefault="0038137D">
      <w:pPr>
        <w:spacing w:before="0" w:line="283" w:lineRule="exact"/>
        <w:ind w:firstLine="709"/>
        <w:contextualSpacing/>
        <w:outlineLvl w:val="1"/>
      </w:pPr>
      <w:r>
        <w:t>7. Максимальный срок выдачи денежных средств под отчет на административно-хозяйственные нужды составляет 30 календарных дней.</w:t>
      </w:r>
    </w:p>
    <w:p w:rsidR="00F06D11" w:rsidRDefault="0038137D">
      <w:pPr>
        <w:spacing w:before="0" w:line="283" w:lineRule="exact"/>
        <w:ind w:firstLine="709"/>
        <w:contextualSpacing/>
        <w:outlineLvl w:val="1"/>
      </w:pPr>
      <w:r>
        <w:t>8. Подотчетные суммы на осуществление командировочных расходов выдаются работникам при направлении в служебную командировку на основании Заявления командированного. Если заявление не оформляется, суммы выдаются в соответствии с распоряжением Исполнительного комитета.</w:t>
      </w:r>
    </w:p>
    <w:p w:rsidR="00F06D11" w:rsidRDefault="0038137D">
      <w:pPr>
        <w:spacing w:before="0" w:line="283" w:lineRule="exact"/>
        <w:ind w:firstLine="709"/>
        <w:contextualSpacing/>
        <w:outlineLvl w:val="1"/>
      </w:pPr>
      <w:r>
        <w:t>9. Авансы на расходы, связанные со служебными командировками, выдаются из кассы наличными денежными средствами или путем перечисления.</w:t>
      </w:r>
    </w:p>
    <w:p w:rsidR="00F06D11" w:rsidRDefault="0038137D">
      <w:pPr>
        <w:spacing w:before="0" w:line="283" w:lineRule="exact"/>
        <w:ind w:firstLine="709"/>
        <w:contextualSpacing/>
        <w:outlineLvl w:val="1"/>
      </w:pPr>
      <w:r>
        <w:t>10. Выдача (перечисление) денежных средств под отчет производится при условии, что за подотчетным лицом нет задолженности по денежным средствам, по которым наступил срок представления отчета.</w:t>
      </w:r>
    </w:p>
    <w:p w:rsidR="00F06D11" w:rsidRDefault="0038137D">
      <w:pPr>
        <w:spacing w:before="0" w:line="283" w:lineRule="exact"/>
        <w:ind w:firstLine="709"/>
        <w:contextualSpacing/>
        <w:outlineLvl w:val="1"/>
      </w:pPr>
      <w:r>
        <w:t>11. Передача выданных (перечисленных) под отчет денежных средств одним лицом другому запрещается.</w:t>
      </w:r>
    </w:p>
    <w:p w:rsidR="00F06D11" w:rsidRDefault="0038137D">
      <w:pPr>
        <w:spacing w:before="0" w:after="0" w:line="283" w:lineRule="exact"/>
        <w:ind w:firstLine="709"/>
        <w:contextualSpacing/>
        <w:outlineLvl w:val="1"/>
      </w:pPr>
      <w:r>
        <w:t xml:space="preserve">12. В исключительных случаях, когда работник с разрешения руководителя Исполнительного комитета произвел оплату расходов за счет собственных средств, производится возмещение таких расходов. Основанием для этого является отчет работника об израсходованных средствах, утвержденный руководителем Исполнительного комитета, с приложением подтверждающих документов. </w:t>
      </w:r>
    </w:p>
    <w:p w:rsidR="00F06D11" w:rsidRDefault="00F06D11">
      <w:pPr>
        <w:spacing w:before="0" w:after="0" w:line="283" w:lineRule="exact"/>
        <w:ind w:firstLine="709"/>
        <w:contextualSpacing/>
        <w:outlineLvl w:val="1"/>
      </w:pPr>
    </w:p>
    <w:p w:rsidR="00F06D11" w:rsidRDefault="0038137D">
      <w:pPr>
        <w:spacing w:before="0" w:after="0" w:line="283" w:lineRule="exact"/>
        <w:ind w:firstLine="709"/>
        <w:contextualSpacing/>
        <w:jc w:val="center"/>
        <w:outlineLvl w:val="0"/>
      </w:pPr>
      <w:r>
        <w:t>ГЛАВА 3. Порядок представления отчетности подотчетными лицами</w:t>
      </w:r>
    </w:p>
    <w:p w:rsidR="00F06D11" w:rsidRDefault="00F06D11">
      <w:pPr>
        <w:spacing w:before="0" w:after="0" w:line="283" w:lineRule="exact"/>
        <w:ind w:firstLine="709"/>
        <w:contextualSpacing/>
        <w:jc w:val="center"/>
        <w:outlineLvl w:val="0"/>
      </w:pPr>
    </w:p>
    <w:p w:rsidR="00F06D11" w:rsidRDefault="0038137D">
      <w:pPr>
        <w:spacing w:before="0" w:after="0" w:line="283" w:lineRule="exact"/>
        <w:ind w:firstLine="709"/>
        <w:contextualSpacing/>
        <w:outlineLvl w:val="1"/>
      </w:pPr>
      <w:r>
        <w:t>13. По израсходованным суммам подотчетное лицо представляет отчет с приложением документов, подтверждающих произведенные расходы. Документы, приложенные к отчету, нумеруются подотчетным лицом в порядке их записи в отчете.</w:t>
      </w:r>
    </w:p>
    <w:p w:rsidR="00F06D11" w:rsidRDefault="0038137D">
      <w:pPr>
        <w:spacing w:before="0" w:line="283" w:lineRule="exact"/>
        <w:ind w:firstLine="709"/>
        <w:contextualSpacing/>
        <w:outlineLvl w:val="1"/>
      </w:pPr>
      <w:r>
        <w:t>14. Отчет о расходах на административно-хозяйственные нужды представляется подотчетным лицом в течении 30 календарных дней, на который были выданы денежные средства.</w:t>
      </w:r>
    </w:p>
    <w:p w:rsidR="00F06D11" w:rsidRDefault="0038137D">
      <w:pPr>
        <w:spacing w:before="0" w:line="283" w:lineRule="exact"/>
        <w:ind w:firstLine="709"/>
        <w:contextualSpacing/>
        <w:outlineLvl w:val="1"/>
      </w:pPr>
      <w:r>
        <w:t>15. Отчет о командировочных расходах представляется работником в срок, установленный руководителем Исполнительного комитета , но не позднее трех рабочих дней со дня возвращения из командировки.</w:t>
      </w:r>
    </w:p>
    <w:p w:rsidR="00F06D11" w:rsidRDefault="0038137D">
      <w:pPr>
        <w:spacing w:before="0" w:line="283" w:lineRule="exact"/>
        <w:ind w:firstLine="709"/>
        <w:contextualSpacing/>
        <w:outlineLvl w:val="1"/>
      </w:pPr>
      <w:r>
        <w:t>16. 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произведенные расходы, обоснованность расходования средств.</w:t>
      </w:r>
    </w:p>
    <w:p w:rsidR="00F06D11" w:rsidRDefault="0038137D">
      <w:pPr>
        <w:spacing w:before="0" w:line="283" w:lineRule="exact"/>
        <w:ind w:firstLine="709"/>
        <w:contextualSpacing/>
        <w:outlineLvl w:val="1"/>
      </w:pPr>
      <w:r>
        <w:t>17. Все прилагаемые к отчету документы должны быть оформлены в соответствии с требованиями законодательства Российской Федерации: с заполнением необходимых граф, указанием реквизитов, наличием подписей.</w:t>
      </w:r>
    </w:p>
    <w:p w:rsidR="00F06D11" w:rsidRDefault="0038137D">
      <w:pPr>
        <w:spacing w:before="0" w:line="283" w:lineRule="exact"/>
        <w:ind w:firstLine="709"/>
        <w:contextualSpacing/>
        <w:outlineLvl w:val="1"/>
      </w:pPr>
      <w:r>
        <w:t>18. Проверенный отчет утверждает руководитель Исполнительного комитета. После этого отчет принимается к учету.</w:t>
      </w:r>
    </w:p>
    <w:p w:rsidR="00F06D11" w:rsidRDefault="0038137D">
      <w:pPr>
        <w:spacing w:before="0" w:line="283" w:lineRule="exact"/>
        <w:ind w:firstLine="709"/>
        <w:contextualSpacing/>
        <w:outlineLvl w:val="1"/>
      </w:pPr>
      <w:r>
        <w:t>19. Проверка и утверждение отчета осуществляются в течение срока, установленного руководителем Исполнительного комитета, после представления отчета подотчетным лицом.</w:t>
      </w:r>
    </w:p>
    <w:p w:rsidR="00F06D11" w:rsidRDefault="0038137D">
      <w:pPr>
        <w:spacing w:before="0" w:line="283" w:lineRule="exact"/>
        <w:ind w:firstLine="709"/>
        <w:contextualSpacing/>
        <w:outlineLvl w:val="1"/>
      </w:pPr>
      <w:r>
        <w:t>20. Суммы превышения расходов подотчетного лица, принятых к учету, над ранее выданным авансом (сумма утвержденного перерасхода) в течение установленного руководителем Исполнительного комитета срока выдаются из кассы наличными денежными средствами, либо перечисляются на банковскую карту сотрудника.</w:t>
      </w:r>
    </w:p>
    <w:p w:rsidR="00F06D11" w:rsidRDefault="0038137D">
      <w:pPr>
        <w:spacing w:before="0" w:line="283" w:lineRule="exact"/>
        <w:ind w:firstLine="709"/>
        <w:contextualSpacing/>
        <w:outlineLvl w:val="1"/>
      </w:pPr>
      <w:r>
        <w:t>21. Остаток неиспользованного аванса вносится подотчетным лицом не позднее дня, следующего за днем утверждения отчета руководителем Исполнительного комитета.</w:t>
      </w:r>
    </w:p>
    <w:p w:rsidR="00F06D11" w:rsidRDefault="0038137D">
      <w:pPr>
        <w:spacing w:before="0" w:line="283" w:lineRule="exact"/>
        <w:ind w:firstLine="709"/>
        <w:contextualSpacing/>
        <w:outlineLvl w:val="1"/>
      </w:pPr>
      <w:r>
        <w:t xml:space="preserve">22. Если работник в установленный срок не представил отчет или не возвратил остаток неиспользованного аванса, из заработной платы работника удерживается сумма задолженности по выданному авансу с соблюдением требований, установленных </w:t>
      </w:r>
      <w:hyperlink r:id="rId208" w:tgtFrame="https://cloud.consultant.ru/cloud/cgi/online.cgi?req=doc&amp;amp;base=LAW&amp;amp;n=502632&amp;amp;fld=134&amp;amp;dst=100931&amp;amp;date=27.05.2025&amp;amp;last=1">
        <w:r>
          <w:rPr>
            <w:rStyle w:val="af0"/>
            <w:color w:val="auto"/>
          </w:rPr>
          <w:t>ст. ст. 137</w:t>
        </w:r>
      </w:hyperlink>
      <w:r>
        <w:t xml:space="preserve"> и </w:t>
      </w:r>
      <w:hyperlink r:id="rId209" w:tgtFrame="https://cloud.consultant.ru/cloud/cgi/online.cgi?req=doc&amp;amp;base=LAW&amp;amp;n=502632&amp;amp;fld=134&amp;amp;dst=100943&amp;amp;date=27.05.2025&amp;amp;last=1">
        <w:r>
          <w:rPr>
            <w:rStyle w:val="af0"/>
            <w:color w:val="auto"/>
          </w:rPr>
          <w:t>138</w:t>
        </w:r>
      </w:hyperlink>
      <w:r>
        <w:t xml:space="preserve"> Трудового Кодекса Российской Федерации.</w:t>
      </w:r>
    </w:p>
    <w:p w:rsidR="00F06D11" w:rsidRDefault="0038137D">
      <w:pPr>
        <w:spacing w:before="0" w:line="283" w:lineRule="exact"/>
        <w:ind w:firstLine="709"/>
        <w:contextualSpacing/>
        <w:outlineLvl w:val="1"/>
        <w:sectPr w:rsidR="00F06D11">
          <w:headerReference w:type="even" r:id="rId210"/>
          <w:headerReference w:type="default" r:id="rId211"/>
          <w:footerReference w:type="even" r:id="rId212"/>
          <w:footerReference w:type="default" r:id="rId213"/>
          <w:headerReference w:type="first" r:id="rId214"/>
          <w:footerReference w:type="first" r:id="rId215"/>
          <w:pgSz w:w="11906" w:h="16838"/>
          <w:pgMar w:top="1134" w:right="850" w:bottom="766" w:left="1701" w:header="720" w:footer="709" w:gutter="0"/>
          <w:pgNumType w:start="40"/>
          <w:cols w:space="720"/>
          <w:formProt w:val="0"/>
          <w:titlePg/>
          <w:docGrid w:linePitch="360"/>
        </w:sectPr>
      </w:pPr>
      <w:r>
        <w:t>23. При увольнении работника, имеющего задолженность по подотчетным суммам, остаток этой задолженности удерживается из причитающихся при увольнении работнику выплат.</w:t>
      </w:r>
    </w:p>
    <w:p w:rsidR="00F06D11" w:rsidRDefault="0038137D">
      <w:pPr>
        <w:keepNext/>
        <w:keepLines/>
        <w:spacing w:before="6" w:after="6"/>
        <w:ind w:left="5726" w:firstLine="0"/>
        <w:jc w:val="left"/>
      </w:pPr>
      <w:r>
        <w:t>Приложение № 9</w:t>
      </w:r>
      <w:r>
        <w:br w:type="textWrapping" w:clear="all"/>
        <w:t>к Учетной политике</w:t>
      </w:r>
      <w:r>
        <w:br w:type="textWrapping" w:clear="all"/>
        <w:t xml:space="preserve">Исполнительного комитета </w:t>
      </w:r>
    </w:p>
    <w:p w:rsidR="00F06D11" w:rsidRDefault="0038137D">
      <w:pPr>
        <w:keepNext/>
        <w:keepLines/>
        <w:spacing w:before="6" w:after="6"/>
        <w:ind w:left="5726" w:firstLine="0"/>
        <w:jc w:val="left"/>
      </w:pPr>
      <w:r>
        <w:t>муниципального образования город Набережные Челны</w:t>
      </w:r>
    </w:p>
    <w:p w:rsidR="00F06D11" w:rsidRDefault="00620920" w:rsidP="00620920">
      <w:pPr>
        <w:keepNext/>
        <w:keepLines/>
        <w:spacing w:before="6" w:after="6"/>
        <w:ind w:left="5726" w:firstLine="0"/>
        <w:jc w:val="left"/>
        <w:rPr>
          <w:sz w:val="16"/>
          <w:szCs w:val="16"/>
        </w:rPr>
      </w:pPr>
      <w:r w:rsidRPr="00620920">
        <w:rPr>
          <w:rFonts w:eastAsia="Calibri"/>
        </w:rPr>
        <w:t>от «30»_12_2025 №3142-р</w:t>
      </w:r>
    </w:p>
    <w:p w:rsidR="00F06D11" w:rsidRDefault="0038137D">
      <w:pPr>
        <w:keepNext/>
        <w:keepLines/>
        <w:spacing w:before="0" w:after="300" w:line="240" w:lineRule="auto"/>
        <w:ind w:firstLine="0"/>
        <w:contextualSpacing/>
        <w:jc w:val="center"/>
        <w:outlineLvl w:val="0"/>
      </w:pPr>
      <w:r>
        <w:rPr>
          <w:spacing w:val="5"/>
        </w:rPr>
        <w:t>Порядок выдачи под отчет денежных документов, составления и представления отчетов подотчетными лицами</w:t>
      </w:r>
    </w:p>
    <w:p w:rsidR="00F06D11" w:rsidRDefault="00F06D11">
      <w:pPr>
        <w:keepNext/>
        <w:keepLines/>
        <w:spacing w:before="0" w:after="300" w:line="240" w:lineRule="auto"/>
        <w:ind w:firstLine="0"/>
        <w:contextualSpacing/>
        <w:jc w:val="center"/>
        <w:outlineLvl w:val="0"/>
        <w:rPr>
          <w:sz w:val="16"/>
          <w:szCs w:val="16"/>
        </w:rPr>
      </w:pPr>
    </w:p>
    <w:p w:rsidR="00F06D11" w:rsidRDefault="0038137D">
      <w:pPr>
        <w:spacing w:before="0" w:after="0"/>
        <w:ind w:left="482" w:firstLine="0"/>
        <w:contextualSpacing/>
        <w:jc w:val="center"/>
        <w:outlineLvl w:val="0"/>
      </w:pPr>
      <w:r>
        <w:t>ГЛАВА 1. Общие положения</w:t>
      </w:r>
    </w:p>
    <w:p w:rsidR="00F06D11" w:rsidRDefault="00F06D11">
      <w:pPr>
        <w:spacing w:before="0" w:after="0"/>
        <w:ind w:left="482" w:firstLine="0"/>
        <w:contextualSpacing/>
        <w:jc w:val="center"/>
        <w:outlineLvl w:val="0"/>
        <w:rPr>
          <w:sz w:val="16"/>
          <w:szCs w:val="16"/>
        </w:rPr>
      </w:pPr>
    </w:p>
    <w:p w:rsidR="00F06D11" w:rsidRDefault="0038137D">
      <w:pPr>
        <w:spacing w:before="0" w:after="0"/>
        <w:ind w:firstLine="709"/>
        <w:contextualSpacing/>
        <w:outlineLvl w:val="1"/>
      </w:pPr>
      <w:r>
        <w:t>1. Порядок устанавливает правила выдачи под отчет денежных документов (документов, оформленных в бумажном виде), составления, представления, проверки и утверждения отчетов об их использовании.</w:t>
      </w:r>
    </w:p>
    <w:p w:rsidR="00F06D11" w:rsidRDefault="00F06D11">
      <w:pPr>
        <w:spacing w:before="0" w:after="0"/>
        <w:ind w:firstLine="709"/>
        <w:contextualSpacing/>
        <w:outlineLvl w:val="1"/>
      </w:pPr>
    </w:p>
    <w:p w:rsidR="00F06D11" w:rsidRDefault="0038137D">
      <w:pPr>
        <w:spacing w:before="0" w:after="0"/>
        <w:ind w:firstLine="709"/>
        <w:contextualSpacing/>
        <w:jc w:val="center"/>
        <w:outlineLvl w:val="0"/>
      </w:pPr>
      <w:r>
        <w:t>ГЛАВА 2. Порядок выдачи денежных документов под отчет</w:t>
      </w:r>
    </w:p>
    <w:p w:rsidR="00F06D11" w:rsidRDefault="00F06D11">
      <w:pPr>
        <w:spacing w:before="0" w:after="0"/>
        <w:ind w:firstLine="709"/>
        <w:contextualSpacing/>
        <w:jc w:val="center"/>
        <w:outlineLvl w:val="0"/>
        <w:rPr>
          <w:sz w:val="16"/>
          <w:szCs w:val="16"/>
        </w:rPr>
      </w:pPr>
    </w:p>
    <w:p w:rsidR="00F06D11" w:rsidRDefault="0038137D">
      <w:pPr>
        <w:spacing w:before="0" w:after="0"/>
        <w:ind w:firstLine="709"/>
        <w:contextualSpacing/>
        <w:outlineLvl w:val="1"/>
      </w:pPr>
      <w:r>
        <w:t>2. Получать денежные документы имеют право работники, замещающие должности, которые приведены в перечне, утверждаемом распоряжением руководителя Исполнительного комитета.</w:t>
      </w:r>
    </w:p>
    <w:p w:rsidR="00F06D11" w:rsidRDefault="0038137D">
      <w:pPr>
        <w:spacing w:before="0" w:after="0"/>
        <w:ind w:firstLine="709"/>
        <w:contextualSpacing/>
        <w:outlineLvl w:val="1"/>
      </w:pPr>
      <w:r>
        <w:t>3. Выдача под отчет денежных документов производится из кассы по расходному кассовому ордеру с надписью «фондовый».</w:t>
      </w:r>
    </w:p>
    <w:p w:rsidR="00F06D11" w:rsidRDefault="0038137D">
      <w:pPr>
        <w:spacing w:before="0" w:after="0"/>
        <w:ind w:firstLine="709"/>
        <w:contextualSpacing/>
        <w:outlineLvl w:val="1"/>
      </w:pPr>
      <w:r>
        <w:t>4. Выдача под отчет денежных документов производится при отсутствии за подотчетным лицом задолженности по денежным документам, по которым наступил срок представления отчета.</w:t>
      </w:r>
    </w:p>
    <w:p w:rsidR="00F06D11" w:rsidRDefault="0038137D">
      <w:pPr>
        <w:spacing w:before="0" w:after="0"/>
        <w:ind w:firstLine="709"/>
        <w:contextualSpacing/>
        <w:outlineLvl w:val="1"/>
      </w:pPr>
      <w:r>
        <w:t>5. Максимальный срок выдачи денежных документов под отчет составляет 30 календарных дней. Не использованные в срок денежные документы возвращаются в кассу.</w:t>
      </w:r>
    </w:p>
    <w:p w:rsidR="00F06D11" w:rsidRDefault="00F06D11">
      <w:pPr>
        <w:spacing w:before="0" w:after="0"/>
        <w:ind w:firstLine="709"/>
        <w:contextualSpacing/>
        <w:outlineLvl w:val="1"/>
        <w:rPr>
          <w:sz w:val="16"/>
          <w:szCs w:val="16"/>
        </w:rPr>
      </w:pPr>
    </w:p>
    <w:p w:rsidR="00F06D11" w:rsidRDefault="0038137D">
      <w:pPr>
        <w:spacing w:before="0" w:after="0"/>
        <w:ind w:firstLine="709"/>
        <w:contextualSpacing/>
        <w:jc w:val="center"/>
        <w:outlineLvl w:val="0"/>
      </w:pPr>
      <w:r>
        <w:t>ГЛАВА 3. Составление, представление отчетности подотчетными лицами</w:t>
      </w:r>
    </w:p>
    <w:p w:rsidR="00F06D11" w:rsidRDefault="00F06D11">
      <w:pPr>
        <w:spacing w:before="0" w:after="0"/>
        <w:ind w:firstLine="709"/>
        <w:contextualSpacing/>
        <w:jc w:val="center"/>
        <w:outlineLvl w:val="0"/>
        <w:rPr>
          <w:sz w:val="16"/>
          <w:szCs w:val="16"/>
        </w:rPr>
      </w:pPr>
    </w:p>
    <w:p w:rsidR="00F06D11" w:rsidRDefault="0038137D">
      <w:pPr>
        <w:spacing w:before="0" w:after="0"/>
        <w:ind w:firstLine="709"/>
        <w:contextualSpacing/>
        <w:outlineLvl w:val="1"/>
      </w:pPr>
      <w:r>
        <w:t>6. Об использовании денежных документов подотчетное лицо должно отчитаться. Для этого нужно представить отчет с приложением документов, подтверждающих их использование.</w:t>
      </w:r>
    </w:p>
    <w:p w:rsidR="00F06D11" w:rsidRDefault="0038137D">
      <w:pPr>
        <w:spacing w:before="0" w:after="0"/>
        <w:ind w:firstLine="709"/>
        <w:contextualSpacing/>
        <w:outlineLvl w:val="1"/>
      </w:pPr>
      <w:r>
        <w:t>7. Отчет представляется подотчетным лицом для отражения в учете и отчетности не позднее трех рабочих дней со дня истечения срока, на который были выданы денежные документы.</w:t>
      </w:r>
    </w:p>
    <w:p w:rsidR="00F06D11" w:rsidRDefault="0038137D">
      <w:pPr>
        <w:spacing w:before="0" w:after="0"/>
        <w:ind w:firstLine="709"/>
        <w:contextualSpacing/>
        <w:outlineLvl w:val="1"/>
      </w:pPr>
      <w:r>
        <w:t>8. 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использование денежных документов.</w:t>
      </w:r>
    </w:p>
    <w:p w:rsidR="00F06D11" w:rsidRDefault="0038137D">
      <w:pPr>
        <w:spacing w:before="0" w:after="0"/>
        <w:ind w:firstLine="709"/>
        <w:contextualSpacing/>
        <w:outlineLvl w:val="1"/>
      </w:pPr>
      <w:r>
        <w:t>9. Проверенный отчет утверждается руководителем Исполнительного комитета, после чего принимается к учету.</w:t>
      </w:r>
    </w:p>
    <w:p w:rsidR="00F06D11" w:rsidRDefault="0038137D">
      <w:pPr>
        <w:spacing w:before="0"/>
        <w:ind w:firstLine="709"/>
        <w:contextualSpacing/>
        <w:outlineLvl w:val="1"/>
      </w:pPr>
      <w:r>
        <w:t>10. Проверка и утверждение отчета осуществляются в течение трех рабочих дней со дня представления его подотчетным лицом.</w:t>
      </w:r>
    </w:p>
    <w:p w:rsidR="00F06D11" w:rsidRDefault="0038137D">
      <w:pPr>
        <w:spacing w:before="0"/>
        <w:ind w:firstLine="709"/>
        <w:contextualSpacing/>
        <w:outlineLvl w:val="1"/>
      </w:pPr>
      <w:r>
        <w:t>11. Остаток неиспользованных денежных документов вносится подотчетным лицом в кассу по приходному кассовому ордеру с надписью «фондовый» не позднее дня, следующего за днем утверждения отчета руководителем Исполнительного комитета.</w:t>
      </w:r>
    </w:p>
    <w:p w:rsidR="00F06D11" w:rsidRDefault="0038137D">
      <w:pPr>
        <w:spacing w:before="0"/>
        <w:ind w:firstLine="709"/>
        <w:contextualSpacing/>
        <w:outlineLvl w:val="1"/>
      </w:pPr>
      <w:r>
        <w:t>12 .Если подотчетным лицом не представлен в установленный срок отчет или не внесен в кассу остаток неиспользованных денежных документов,  из заработной платы работника удерживается сумма задолженности по выданным денежным документам с соблюдением требований</w:t>
      </w:r>
      <w:r>
        <w:rPr>
          <w:color w:val="000000"/>
        </w:rPr>
        <w:t xml:space="preserve"> </w:t>
      </w:r>
      <w:hyperlink r:id="rId216" w:tgtFrame="https://cloud.consultant.ru/cloud/cgi/online.cgi?req=doc&amp;amp;base=LAW&amp;amp;n=502632&amp;amp;fld=134&amp;amp;dst=100931&amp;amp;date=27.05.2025&amp;amp;last=1">
        <w:r>
          <w:rPr>
            <w:rStyle w:val="af0"/>
            <w:color w:val="000000"/>
          </w:rPr>
          <w:t>ст. ст. 137</w:t>
        </w:r>
      </w:hyperlink>
      <w:r>
        <w:rPr>
          <w:color w:val="000000"/>
        </w:rPr>
        <w:t xml:space="preserve"> и </w:t>
      </w:r>
      <w:hyperlink r:id="rId217" w:tgtFrame="https://cloud.consultant.ru/cloud/cgi/online.cgi?req=doc&amp;amp;base=LAW&amp;amp;n=502632&amp;amp;fld=134&amp;amp;dst=100943&amp;amp;date=27.05.2025&amp;amp;last=1">
        <w:r>
          <w:rPr>
            <w:rStyle w:val="af0"/>
            <w:color w:val="000000"/>
          </w:rPr>
          <w:t>138</w:t>
        </w:r>
      </w:hyperlink>
      <w:r>
        <w:t xml:space="preserve"> Трудового Кодекса Российской Федерации.</w:t>
      </w:r>
    </w:p>
    <w:p w:rsidR="00F06D11" w:rsidRDefault="0038137D">
      <w:pPr>
        <w:spacing w:before="0"/>
        <w:ind w:firstLine="709"/>
        <w:contextualSpacing/>
        <w:outlineLvl w:val="1"/>
        <w:sectPr w:rsidR="00F06D11">
          <w:headerReference w:type="even" r:id="rId218"/>
          <w:headerReference w:type="default" r:id="rId219"/>
          <w:footerReference w:type="even" r:id="rId220"/>
          <w:footerReference w:type="default" r:id="rId221"/>
          <w:headerReference w:type="first" r:id="rId222"/>
          <w:footerReference w:type="first" r:id="rId223"/>
          <w:pgSz w:w="11906" w:h="16838"/>
          <w:pgMar w:top="1134" w:right="850" w:bottom="766" w:left="1701" w:header="720" w:footer="709" w:gutter="0"/>
          <w:pgNumType w:start="42"/>
          <w:cols w:space="720"/>
          <w:formProt w:val="0"/>
          <w:docGrid w:linePitch="360"/>
        </w:sectPr>
      </w:pPr>
      <w:r>
        <w:t>13. В случае увольнения работника, имеющего задолженность по полученным под отчет денежным документам, их стоимость взыскивается с работника в порядке возмещения им прямого действительного нанесенного ущерба.</w:t>
      </w:r>
    </w:p>
    <w:p w:rsidR="00F06D11" w:rsidRDefault="0038137D">
      <w:pPr>
        <w:keepNext/>
        <w:keepLines/>
        <w:spacing w:before="0" w:after="0"/>
        <w:ind w:left="5896" w:firstLine="0"/>
        <w:jc w:val="left"/>
      </w:pPr>
      <w:r>
        <w:t>Приложение № 10</w:t>
      </w:r>
      <w:r>
        <w:br w:type="textWrapping" w:clear="all"/>
        <w:t>к Учетной политике</w:t>
      </w:r>
      <w:r>
        <w:br w:type="textWrapping" w:clear="all"/>
        <w:t xml:space="preserve">Исполнительного комитета </w:t>
      </w:r>
    </w:p>
    <w:p w:rsidR="00F06D11" w:rsidRDefault="0038137D">
      <w:pPr>
        <w:keepNext/>
        <w:keepLines/>
        <w:spacing w:before="0" w:after="0"/>
        <w:ind w:left="5896" w:firstLine="0"/>
        <w:jc w:val="left"/>
      </w:pPr>
      <w:r>
        <w:t>муниципального образования</w:t>
      </w:r>
    </w:p>
    <w:p w:rsidR="00F06D11" w:rsidRDefault="0038137D">
      <w:pPr>
        <w:spacing w:before="0" w:after="0"/>
        <w:ind w:left="5896" w:firstLine="0"/>
        <w:jc w:val="left"/>
      </w:pPr>
      <w:r>
        <w:t>город Набережные Челны</w:t>
      </w:r>
    </w:p>
    <w:p w:rsidR="00F06D11" w:rsidRDefault="00620920" w:rsidP="00620920">
      <w:pPr>
        <w:spacing w:before="0" w:after="0"/>
        <w:ind w:left="5896" w:firstLine="0"/>
        <w:jc w:val="left"/>
        <w:rPr>
          <w:b/>
          <w:spacing w:val="5"/>
          <w:sz w:val="28"/>
          <w:szCs w:val="52"/>
        </w:rPr>
      </w:pPr>
      <w:r w:rsidRPr="00620920">
        <w:rPr>
          <w:rFonts w:eastAsia="Calibri"/>
        </w:rPr>
        <w:t>от «30»_12_2025 №3142-р</w:t>
      </w:r>
    </w:p>
    <w:p w:rsidR="00F06D11" w:rsidRDefault="0038137D">
      <w:pPr>
        <w:spacing w:after="300" w:line="240" w:lineRule="auto"/>
        <w:ind w:firstLine="0"/>
        <w:contextualSpacing/>
        <w:jc w:val="center"/>
        <w:outlineLvl w:val="0"/>
        <w:rPr>
          <w:spacing w:val="5"/>
        </w:rPr>
      </w:pPr>
      <w:r>
        <w:rPr>
          <w:spacing w:val="5"/>
        </w:rPr>
        <w:t>Порядок приемки, хранения, выдачи и списания бланков строгой отчетности</w:t>
      </w:r>
    </w:p>
    <w:p w:rsidR="00F06D11" w:rsidRDefault="00F06D11">
      <w:pPr>
        <w:spacing w:after="300" w:line="240" w:lineRule="auto"/>
        <w:ind w:firstLine="0"/>
        <w:contextualSpacing/>
        <w:jc w:val="center"/>
        <w:outlineLvl w:val="0"/>
        <w:rPr>
          <w:spacing w:val="5"/>
        </w:rPr>
      </w:pPr>
    </w:p>
    <w:p w:rsidR="00F06D11" w:rsidRDefault="0038137D">
      <w:pPr>
        <w:spacing w:before="6" w:after="6"/>
        <w:ind w:firstLine="737"/>
        <w:outlineLvl w:val="0"/>
      </w:pPr>
      <w:r>
        <w:t>Настоящий порядок устанавливает правила приемки, хранения, выдачи и списания бланков строгой отчетности.</w:t>
      </w:r>
    </w:p>
    <w:p w:rsidR="00F06D11" w:rsidRDefault="0038137D">
      <w:pPr>
        <w:spacing w:before="6" w:after="6"/>
        <w:ind w:firstLine="737"/>
        <w:outlineLvl w:val="0"/>
      </w:pPr>
      <w:r>
        <w:t>2. Получать бланки строгой отчетности имеют право работники, замещающие должности, которые приведены в перечне, утверждаемом отдельным распоряжением руководителя Исполнительного комитета.</w:t>
      </w:r>
    </w:p>
    <w:p w:rsidR="00F06D11" w:rsidRDefault="0038137D">
      <w:pPr>
        <w:spacing w:before="6" w:after="6"/>
        <w:ind w:firstLine="737"/>
        <w:outlineLvl w:val="0"/>
      </w:pPr>
      <w:r>
        <w:t>3. С работниками, осуществляющими получение, выдачу, хранение бланков строгой отчетности, заключаются договоры о полной индивидуальной материальной ответственности.</w:t>
      </w:r>
    </w:p>
    <w:p w:rsidR="00F06D11" w:rsidRDefault="0038137D">
      <w:pPr>
        <w:spacing w:before="6" w:after="6"/>
        <w:ind w:firstLine="737"/>
        <w:outlineLvl w:val="0"/>
      </w:pPr>
      <w:r>
        <w:t>4. Бланки строгой отчетности принимаются работником в присутствии комиссии по поступлению и выбытию активов. Она проверяет соответствие фактического количества, серий и номеров бланков документов данным, указанным в сопроводительных документах (накладных и т.п.), и составляет акт приемки бланков строгой отчетности. Акт, утвержденный руководителем Исполнительного комитета, является основанием для принятия работником бланков строгой отчетности. Форма акта приведена в приложении к настоящему Порядку.</w:t>
      </w:r>
    </w:p>
    <w:p w:rsidR="00F06D11" w:rsidRDefault="0038137D">
      <w:pPr>
        <w:spacing w:before="6" w:after="6"/>
        <w:ind w:firstLine="737"/>
        <w:outlineLvl w:val="0"/>
      </w:pPr>
      <w:r>
        <w:t>5. Аналитический учет бланков строгой отчетности ведется в Книге учета бланков строгой отчетности по видам, сериям и номерам с указанием даты получения (выдачи) бланков, условной цены, количества, а также с проставлением подписи получившего их лица. На основании данных по приходу и расходу бланков строгой отчетности выводится остаток на конец периода.</w:t>
      </w:r>
    </w:p>
    <w:p w:rsidR="00F06D11" w:rsidRDefault="0038137D">
      <w:pPr>
        <w:spacing w:before="6" w:after="6"/>
        <w:ind w:firstLine="737"/>
      </w:pPr>
      <w:r>
        <w:t>Книга должна быть прошнурована и опечатана. Количество листов в ней заверяется уполномоченным должностным лицом.</w:t>
      </w:r>
    </w:p>
    <w:p w:rsidR="00F06D11" w:rsidRDefault="0038137D">
      <w:pPr>
        <w:spacing w:before="6" w:after="6"/>
        <w:ind w:firstLine="737"/>
        <w:outlineLvl w:val="0"/>
      </w:pPr>
      <w:r>
        <w:t>6. Бланки строгой отчетности хранятся в металлических шкафах и (или) сейфах. По окончании рабочего дня места хранения бланков опечатываются.</w:t>
      </w:r>
    </w:p>
    <w:p w:rsidR="00F06D11" w:rsidRDefault="0038137D">
      <w:pPr>
        <w:spacing w:before="6" w:after="6"/>
        <w:ind w:firstLine="737"/>
        <w:outlineLvl w:val="0"/>
      </w:pPr>
      <w:r>
        <w:t>7. Внутреннее перемещение бланков строгой отчетности оформляется Требованием-накладной.</w:t>
      </w:r>
    </w:p>
    <w:p w:rsidR="00F06D11" w:rsidRDefault="0038137D">
      <w:pPr>
        <w:spacing w:before="6" w:after="6"/>
        <w:ind w:firstLine="737"/>
        <w:outlineLvl w:val="0"/>
        <w:sectPr w:rsidR="00F06D11">
          <w:headerReference w:type="even" r:id="rId224"/>
          <w:headerReference w:type="default" r:id="rId225"/>
          <w:footerReference w:type="even" r:id="rId226"/>
          <w:footerReference w:type="default" r:id="rId227"/>
          <w:headerReference w:type="first" r:id="rId228"/>
          <w:footerReference w:type="first" r:id="rId229"/>
          <w:pgSz w:w="11906" w:h="16838"/>
          <w:pgMar w:top="1134" w:right="850" w:bottom="766" w:left="1701" w:header="720" w:footer="709" w:gutter="0"/>
          <w:pgNumType w:start="43"/>
          <w:cols w:space="720"/>
          <w:formProt w:val="0"/>
          <w:docGrid w:linePitch="360"/>
        </w:sectPr>
      </w:pPr>
      <w:r>
        <w:t>8. Списание (в том числе испорченных бланков строгой отчетности) производится по Акту о списании бланков строгой отчетности.</w:t>
      </w:r>
    </w:p>
    <w:p w:rsidR="00F06D11" w:rsidRDefault="0038137D">
      <w:pPr>
        <w:keepNext/>
        <w:keepLines/>
        <w:spacing w:before="0" w:after="0"/>
        <w:ind w:left="9411" w:firstLine="0"/>
        <w:jc w:val="left"/>
      </w:pPr>
      <w:r>
        <w:t>Приложение</w:t>
      </w:r>
    </w:p>
    <w:p w:rsidR="00F06D11" w:rsidRDefault="0038137D">
      <w:pPr>
        <w:spacing w:before="0" w:after="0"/>
        <w:ind w:left="9411" w:firstLine="0"/>
        <w:jc w:val="left"/>
      </w:pPr>
      <w:r>
        <w:t>к Порядку приемки, хранения,</w:t>
      </w:r>
    </w:p>
    <w:p w:rsidR="00F06D11" w:rsidRDefault="0038137D">
      <w:pPr>
        <w:spacing w:before="0" w:after="0"/>
        <w:ind w:left="9411" w:firstLine="0"/>
        <w:jc w:val="left"/>
      </w:pPr>
      <w:r>
        <w:t xml:space="preserve">выдачи и списания бланков </w:t>
      </w:r>
    </w:p>
    <w:p w:rsidR="00F06D11" w:rsidRDefault="0038137D">
      <w:pPr>
        <w:spacing w:before="0" w:after="0"/>
        <w:ind w:left="9411" w:firstLine="0"/>
        <w:jc w:val="left"/>
      </w:pPr>
      <w:r>
        <w:t>строгой отчетности</w:t>
      </w:r>
    </w:p>
    <w:p w:rsidR="00F06D11" w:rsidRDefault="0038137D">
      <w:pPr>
        <w:ind w:firstLine="0"/>
        <w:jc w:val="right"/>
      </w:pPr>
      <w:r>
        <w:t> </w:t>
      </w:r>
      <w:r>
        <w:br w:type="textWrapping" w:clear="all"/>
        <w:t>УТВЕРЖДАЮ</w:t>
      </w:r>
      <w:r>
        <w:br w:type="textWrapping" w:clear="all"/>
      </w:r>
      <w:r>
        <w:rPr>
          <w:u w:val="single"/>
        </w:rPr>
        <w:t>                                                                            </w:t>
      </w:r>
      <w:r>
        <w:br w:type="textWrapping" w:clear="all"/>
      </w:r>
      <w:r>
        <w:rPr>
          <w:u w:val="single"/>
        </w:rPr>
        <w:t>    (должность, фамилия, инициалы руководителя)    </w:t>
      </w:r>
    </w:p>
    <w:p w:rsidR="00F06D11" w:rsidRDefault="0038137D">
      <w:pPr>
        <w:jc w:val="center"/>
      </w:pPr>
      <w:r>
        <w:t>АКТ</w:t>
      </w:r>
    </w:p>
    <w:p w:rsidR="00F06D11" w:rsidRDefault="0038137D">
      <w:pPr>
        <w:jc w:val="center"/>
        <w:rPr>
          <w:lang w:bidi="ru-RU"/>
        </w:rPr>
      </w:pPr>
      <w:r>
        <w:t>приемки бланков строгой отчетности</w:t>
      </w:r>
    </w:p>
    <w:tbl>
      <w:tblPr>
        <w:tblW w:w="5000" w:type="pct"/>
        <w:tblInd w:w="-109" w:type="dxa"/>
        <w:tblLayout w:type="fixed"/>
        <w:tblLook w:val="04A0" w:firstRow="1" w:lastRow="0" w:firstColumn="1" w:lastColumn="0" w:noHBand="0" w:noVBand="1"/>
      </w:tblPr>
      <w:tblGrid>
        <w:gridCol w:w="12820"/>
        <w:gridCol w:w="1586"/>
      </w:tblGrid>
      <w:tr w:rsidR="00F06D11">
        <w:tc>
          <w:tcPr>
            <w:tcW w:w="12627" w:type="dxa"/>
          </w:tcPr>
          <w:p w:rsidR="00F06D11" w:rsidRDefault="0038137D">
            <w:pPr>
              <w:keepNext/>
              <w:ind w:firstLine="0"/>
              <w:jc w:val="left"/>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c>
          <w:tcPr>
            <w:tcW w:w="1562" w:type="dxa"/>
          </w:tcPr>
          <w:p w:rsidR="00F06D11" w:rsidRDefault="0038137D">
            <w:pPr>
              <w:keepNext/>
              <w:ind w:firstLine="0"/>
              <w:jc w:val="right"/>
            </w:pPr>
            <w:r>
              <w:rPr>
                <w:lang w:bidi="ru-RU"/>
              </w:rPr>
              <w:t>№</w:t>
            </w:r>
          </w:p>
        </w:tc>
      </w:tr>
    </w:tbl>
    <w:p w:rsidR="00F06D11" w:rsidRDefault="0038137D">
      <w:r>
        <w:t>Комиссия в составе:</w:t>
      </w:r>
    </w:p>
    <w:p w:rsidR="00F06D11" w:rsidRDefault="0038137D">
      <w:r>
        <w:t xml:space="preserve">Председатель </w:t>
      </w:r>
      <w:r>
        <w:rPr>
          <w:u w:val="single"/>
        </w:rPr>
        <w:t>                                (должность, фамилия, инициалы)                                </w:t>
      </w:r>
    </w:p>
    <w:p w:rsidR="00F06D11" w:rsidRDefault="0038137D">
      <w:pPr>
        <w:rPr>
          <w:u w:val="single"/>
        </w:rPr>
      </w:pPr>
      <w:r>
        <w:t>Члены комиссии:</w:t>
      </w:r>
    </w:p>
    <w:p w:rsidR="00F06D11" w:rsidRDefault="0038137D">
      <w:pPr>
        <w:rPr>
          <w:u w:val="single"/>
        </w:rPr>
      </w:pPr>
      <w:r>
        <w:rPr>
          <w:u w:val="single"/>
        </w:rPr>
        <w:t>                            (должность, фамилия, инициалы)                              </w:t>
      </w:r>
    </w:p>
    <w:p w:rsidR="00F06D11" w:rsidRDefault="0038137D">
      <w:pPr>
        <w:rPr>
          <w:u w:val="single"/>
        </w:rPr>
      </w:pPr>
      <w:r>
        <w:rPr>
          <w:u w:val="single"/>
        </w:rPr>
        <w:t>                            (должность, фамилия, инициалы)                              </w:t>
      </w:r>
    </w:p>
    <w:p w:rsidR="00F06D11" w:rsidRDefault="0038137D">
      <w:r>
        <w:rPr>
          <w:u w:val="single"/>
        </w:rPr>
        <w:t>                            (должность, фамилия, инициалы)                            </w:t>
      </w:r>
      <w:r>
        <w:t>,</w:t>
      </w:r>
    </w:p>
    <w:p w:rsidR="00F06D11" w:rsidRDefault="0038137D">
      <w:r>
        <w:t>назначенная </w:t>
      </w:r>
      <w:r>
        <w:rPr>
          <w:u w:val="single"/>
        </w:rPr>
        <w:t>    (распорядительный акт руководителя)    </w:t>
      </w:r>
    </w:p>
    <w:p w:rsidR="00F06D11" w:rsidRDefault="0038137D">
      <w:r>
        <w:t>от "</w:t>
      </w:r>
      <w:r>
        <w:rPr>
          <w:u w:val="single"/>
        </w:rPr>
        <w:t>       </w:t>
      </w:r>
      <w:r>
        <w:t xml:space="preserve">" </w:t>
      </w:r>
      <w:r>
        <w:rPr>
          <w:u w:val="single"/>
        </w:rPr>
        <w:t>                     </w:t>
      </w:r>
      <w:r>
        <w:t xml:space="preserve"> 20</w:t>
      </w:r>
      <w:r>
        <w:rPr>
          <w:u w:val="single"/>
        </w:rPr>
        <w:t>       </w:t>
      </w:r>
      <w:r>
        <w:t xml:space="preserve"> г. № </w:t>
      </w:r>
      <w:r>
        <w:rPr>
          <w:u w:val="single"/>
        </w:rPr>
        <w:t>       </w:t>
      </w:r>
      <w:r>
        <w:t>,</w:t>
      </w:r>
    </w:p>
    <w:p w:rsidR="00F06D11" w:rsidRDefault="0038137D">
      <w:r>
        <w:t>произвела проверку фактического наличия бланков строгой отчетности,</w:t>
      </w:r>
    </w:p>
    <w:p w:rsidR="00F06D11" w:rsidRDefault="0038137D">
      <w:r>
        <w:t xml:space="preserve">полученных от </w:t>
      </w:r>
      <w:r>
        <w:rPr>
          <w:u w:val="single"/>
        </w:rPr>
        <w:t>                                                                                                                       </w:t>
      </w:r>
      <w:r>
        <w:t>,</w:t>
      </w:r>
    </w:p>
    <w:p w:rsidR="00F06D11" w:rsidRDefault="0038137D">
      <w:r>
        <w:t>согласно счету от "</w:t>
      </w:r>
      <w:r>
        <w:rPr>
          <w:u w:val="single"/>
        </w:rPr>
        <w:t>       </w:t>
      </w:r>
      <w:r>
        <w:t xml:space="preserve">" </w:t>
      </w:r>
      <w:r>
        <w:rPr>
          <w:u w:val="single"/>
        </w:rPr>
        <w:t>                         </w:t>
      </w:r>
      <w:r>
        <w:t xml:space="preserve"> 20</w:t>
      </w:r>
      <w:r>
        <w:rPr>
          <w:u w:val="single"/>
        </w:rPr>
        <w:t>       </w:t>
      </w:r>
      <w:r>
        <w:t xml:space="preserve"> г. № </w:t>
      </w:r>
      <w:r>
        <w:rPr>
          <w:u w:val="single"/>
        </w:rPr>
        <w:t>                                                   </w:t>
      </w:r>
    </w:p>
    <w:p w:rsidR="00F06D11" w:rsidRDefault="0038137D">
      <w:r>
        <w:t>и накладной от "</w:t>
      </w:r>
      <w:r>
        <w:rPr>
          <w:u w:val="single"/>
        </w:rPr>
        <w:t>       </w:t>
      </w:r>
      <w:r>
        <w:t xml:space="preserve">" </w:t>
      </w:r>
      <w:r>
        <w:rPr>
          <w:u w:val="single"/>
        </w:rPr>
        <w:t>                         </w:t>
      </w:r>
      <w:r>
        <w:t xml:space="preserve"> 20</w:t>
      </w:r>
      <w:r>
        <w:rPr>
          <w:u w:val="single"/>
        </w:rPr>
        <w:t>       </w:t>
      </w:r>
      <w:r>
        <w:t xml:space="preserve"> г. № </w:t>
      </w:r>
      <w:r>
        <w:rPr>
          <w:u w:val="single"/>
        </w:rPr>
        <w:t>                                                         </w:t>
      </w:r>
      <w:r>
        <w:t>.</w:t>
      </w:r>
    </w:p>
    <w:p w:rsidR="00F06D11" w:rsidRDefault="0038137D">
      <w:r>
        <w:t>В результате проверки выявлено:</w:t>
      </w:r>
    </w:p>
    <w:p w:rsidR="00F06D11" w:rsidRDefault="0038137D">
      <w:r>
        <w:t xml:space="preserve">1. Состояние упаковки </w:t>
      </w:r>
      <w:r>
        <w:rPr>
          <w:u w:val="single"/>
        </w:rPr>
        <w:t>                                                                                                                                 </w:t>
      </w:r>
    </w:p>
    <w:p w:rsidR="00F06D11" w:rsidRDefault="0038137D">
      <w:pPr>
        <w:rPr>
          <w:lang w:bidi="ru-RU"/>
        </w:rPr>
      </w:pPr>
      <w:r>
        <w:t>2. Наличие документов строгой отчетности:</w:t>
      </w:r>
    </w:p>
    <w:tbl>
      <w:tblPr>
        <w:tblW w:w="5000" w:type="pct"/>
        <w:tblInd w:w="-109" w:type="dxa"/>
        <w:tblLayout w:type="fixed"/>
        <w:tblLook w:val="04A0" w:firstRow="1" w:lastRow="0" w:firstColumn="1" w:lastColumn="0" w:noHBand="0" w:noVBand="1"/>
      </w:tblPr>
      <w:tblGrid>
        <w:gridCol w:w="2036"/>
        <w:gridCol w:w="1600"/>
        <w:gridCol w:w="2036"/>
        <w:gridCol w:w="1310"/>
        <w:gridCol w:w="1456"/>
        <w:gridCol w:w="1313"/>
        <w:gridCol w:w="1455"/>
        <w:gridCol w:w="1463"/>
        <w:gridCol w:w="1737"/>
      </w:tblGrid>
      <w:tr w:rsidR="00F06D11">
        <w:tc>
          <w:tcPr>
            <w:tcW w:w="2005" w:type="dxa"/>
            <w:vMerge w:val="restart"/>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Наименование и код формы</w:t>
            </w:r>
          </w:p>
        </w:tc>
        <w:tc>
          <w:tcPr>
            <w:tcW w:w="3581" w:type="dxa"/>
            <w:gridSpan w:val="2"/>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Количество бланков (единиц)</w:t>
            </w:r>
          </w:p>
        </w:tc>
        <w:tc>
          <w:tcPr>
            <w:tcW w:w="1290" w:type="dxa"/>
            <w:vMerge w:val="restart"/>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 формы</w:t>
            </w:r>
          </w:p>
        </w:tc>
        <w:tc>
          <w:tcPr>
            <w:tcW w:w="1434" w:type="dxa"/>
            <w:vMerge w:val="restart"/>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Серия</w:t>
            </w:r>
          </w:p>
        </w:tc>
        <w:tc>
          <w:tcPr>
            <w:tcW w:w="1293" w:type="dxa"/>
            <w:vMerge w:val="restart"/>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Излишки (единиц)</w:t>
            </w:r>
          </w:p>
        </w:tc>
        <w:tc>
          <w:tcPr>
            <w:tcW w:w="1433" w:type="dxa"/>
            <w:vMerge w:val="restart"/>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Недостачи (единиц)</w:t>
            </w:r>
          </w:p>
        </w:tc>
        <w:tc>
          <w:tcPr>
            <w:tcW w:w="1441" w:type="dxa"/>
            <w:vMerge w:val="restart"/>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rPr>
                <w:lang w:bidi="ru-RU"/>
              </w:rPr>
            </w:pPr>
            <w:r>
              <w:rPr>
                <w:lang w:bidi="ru-RU"/>
              </w:rPr>
              <w:t>Брак</w:t>
            </w:r>
          </w:p>
          <w:p w:rsidR="00F06D11" w:rsidRDefault="0038137D">
            <w:pPr>
              <w:keepNext/>
              <w:ind w:firstLine="0"/>
              <w:jc w:val="center"/>
            </w:pPr>
            <w:r>
              <w:rPr>
                <w:lang w:bidi="ru-RU"/>
              </w:rPr>
              <w:t>(единиц)</w:t>
            </w:r>
          </w:p>
        </w:tc>
        <w:tc>
          <w:tcPr>
            <w:tcW w:w="1711" w:type="dxa"/>
            <w:vMerge w:val="restart"/>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На общую сумму, руб.</w:t>
            </w:r>
          </w:p>
        </w:tc>
      </w:tr>
      <w:tr w:rsidR="00F06D11">
        <w:tc>
          <w:tcPr>
            <w:tcW w:w="2005" w:type="dxa"/>
            <w:vMerge/>
            <w:tcBorders>
              <w:top w:val="single" w:sz="6" w:space="0" w:color="000000"/>
              <w:left w:val="single" w:sz="6" w:space="0" w:color="000000"/>
              <w:bottom w:val="single" w:sz="6" w:space="0" w:color="000000"/>
              <w:right w:val="single" w:sz="6" w:space="0" w:color="000000"/>
            </w:tcBorders>
          </w:tcPr>
          <w:p w:rsidR="00F06D11" w:rsidRDefault="00F06D11">
            <w:pPr>
              <w:rPr>
                <w:lang w:bidi="ru-RU"/>
              </w:rPr>
            </w:pPr>
          </w:p>
        </w:tc>
        <w:tc>
          <w:tcPr>
            <w:tcW w:w="1576"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по накладной</w:t>
            </w:r>
          </w:p>
        </w:tc>
        <w:tc>
          <w:tcPr>
            <w:tcW w:w="2005"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фактическое</w:t>
            </w:r>
          </w:p>
        </w:tc>
        <w:tc>
          <w:tcPr>
            <w:tcW w:w="1290" w:type="dxa"/>
            <w:vMerge/>
            <w:tcBorders>
              <w:top w:val="single" w:sz="6" w:space="0" w:color="000000"/>
              <w:left w:val="single" w:sz="6" w:space="0" w:color="000000"/>
              <w:bottom w:val="single" w:sz="6" w:space="0" w:color="000000"/>
              <w:right w:val="single" w:sz="6" w:space="0" w:color="000000"/>
            </w:tcBorders>
          </w:tcPr>
          <w:p w:rsidR="00F06D11" w:rsidRDefault="00F06D11">
            <w:pPr>
              <w:rPr>
                <w:lang w:bidi="ru-RU"/>
              </w:rPr>
            </w:pPr>
          </w:p>
        </w:tc>
        <w:tc>
          <w:tcPr>
            <w:tcW w:w="1434" w:type="dxa"/>
            <w:vMerge/>
            <w:tcBorders>
              <w:top w:val="single" w:sz="6" w:space="0" w:color="000000"/>
              <w:left w:val="single" w:sz="6" w:space="0" w:color="000000"/>
              <w:bottom w:val="single" w:sz="6" w:space="0" w:color="000000"/>
              <w:right w:val="single" w:sz="6" w:space="0" w:color="000000"/>
            </w:tcBorders>
          </w:tcPr>
          <w:p w:rsidR="00F06D11" w:rsidRDefault="00F06D11">
            <w:pPr>
              <w:rPr>
                <w:lang w:bidi="ru-RU"/>
              </w:rPr>
            </w:pPr>
          </w:p>
        </w:tc>
        <w:tc>
          <w:tcPr>
            <w:tcW w:w="1293" w:type="dxa"/>
            <w:vMerge/>
            <w:tcBorders>
              <w:top w:val="single" w:sz="6" w:space="0" w:color="000000"/>
              <w:left w:val="single" w:sz="6" w:space="0" w:color="000000"/>
              <w:bottom w:val="single" w:sz="6" w:space="0" w:color="000000"/>
              <w:right w:val="single" w:sz="6" w:space="0" w:color="000000"/>
            </w:tcBorders>
          </w:tcPr>
          <w:p w:rsidR="00F06D11" w:rsidRDefault="00F06D11">
            <w:pPr>
              <w:rPr>
                <w:lang w:bidi="ru-RU"/>
              </w:rPr>
            </w:pPr>
          </w:p>
        </w:tc>
        <w:tc>
          <w:tcPr>
            <w:tcW w:w="1433" w:type="dxa"/>
            <w:vMerge/>
            <w:tcBorders>
              <w:top w:val="single" w:sz="6" w:space="0" w:color="000000"/>
              <w:left w:val="single" w:sz="6" w:space="0" w:color="000000"/>
              <w:bottom w:val="single" w:sz="6" w:space="0" w:color="000000"/>
              <w:right w:val="single" w:sz="6" w:space="0" w:color="000000"/>
            </w:tcBorders>
          </w:tcPr>
          <w:p w:rsidR="00F06D11" w:rsidRDefault="00F06D11">
            <w:pPr>
              <w:rPr>
                <w:lang w:bidi="ru-RU"/>
              </w:rPr>
            </w:pPr>
          </w:p>
        </w:tc>
        <w:tc>
          <w:tcPr>
            <w:tcW w:w="1441" w:type="dxa"/>
            <w:vMerge/>
            <w:tcBorders>
              <w:top w:val="single" w:sz="6" w:space="0" w:color="000000"/>
              <w:left w:val="single" w:sz="6" w:space="0" w:color="000000"/>
              <w:bottom w:val="single" w:sz="6" w:space="0" w:color="000000"/>
              <w:right w:val="single" w:sz="6" w:space="0" w:color="000000"/>
            </w:tcBorders>
          </w:tcPr>
          <w:p w:rsidR="00F06D11" w:rsidRDefault="00F06D11">
            <w:pPr>
              <w:rPr>
                <w:lang w:bidi="ru-RU"/>
              </w:rPr>
            </w:pPr>
          </w:p>
        </w:tc>
        <w:tc>
          <w:tcPr>
            <w:tcW w:w="1711" w:type="dxa"/>
            <w:vMerge/>
            <w:tcBorders>
              <w:top w:val="single" w:sz="6" w:space="0" w:color="000000"/>
              <w:left w:val="single" w:sz="6" w:space="0" w:color="000000"/>
              <w:bottom w:val="single" w:sz="6" w:space="0" w:color="000000"/>
              <w:right w:val="single" w:sz="6" w:space="0" w:color="000000"/>
            </w:tcBorders>
          </w:tcPr>
          <w:p w:rsidR="00F06D11" w:rsidRDefault="00F06D11">
            <w:pPr>
              <w:rPr>
                <w:lang w:bidi="ru-RU"/>
              </w:rPr>
            </w:pPr>
          </w:p>
        </w:tc>
      </w:tr>
      <w:tr w:rsidR="00F06D11">
        <w:tc>
          <w:tcPr>
            <w:tcW w:w="2005"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1</w:t>
            </w:r>
          </w:p>
        </w:tc>
        <w:tc>
          <w:tcPr>
            <w:tcW w:w="1576"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2</w:t>
            </w:r>
          </w:p>
        </w:tc>
        <w:tc>
          <w:tcPr>
            <w:tcW w:w="2005"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3</w:t>
            </w:r>
          </w:p>
        </w:tc>
        <w:tc>
          <w:tcPr>
            <w:tcW w:w="1290"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4</w:t>
            </w:r>
          </w:p>
        </w:tc>
        <w:tc>
          <w:tcPr>
            <w:tcW w:w="1434"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5</w:t>
            </w:r>
          </w:p>
        </w:tc>
        <w:tc>
          <w:tcPr>
            <w:tcW w:w="1293"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6</w:t>
            </w:r>
          </w:p>
        </w:tc>
        <w:tc>
          <w:tcPr>
            <w:tcW w:w="1433"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7</w:t>
            </w:r>
          </w:p>
        </w:tc>
        <w:tc>
          <w:tcPr>
            <w:tcW w:w="1441"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8</w:t>
            </w:r>
          </w:p>
        </w:tc>
        <w:tc>
          <w:tcPr>
            <w:tcW w:w="1711"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9</w:t>
            </w:r>
          </w:p>
        </w:tc>
      </w:tr>
      <w:tr w:rsidR="00F06D11">
        <w:tc>
          <w:tcPr>
            <w:tcW w:w="2005"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576"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005"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290"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434"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293"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433"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441"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711"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r>
      <w:tr w:rsidR="00F06D11">
        <w:tc>
          <w:tcPr>
            <w:tcW w:w="2005"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576"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005"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290"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434"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293"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433"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441"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711"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r>
      <w:tr w:rsidR="00F06D11">
        <w:tc>
          <w:tcPr>
            <w:tcW w:w="2005"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576"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005"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290"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434"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293"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433"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441"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711"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r>
      <w:tr w:rsidR="00F06D11">
        <w:tc>
          <w:tcPr>
            <w:tcW w:w="2005"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576"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005"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290"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434"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293"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433"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441"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711"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r>
    </w:tbl>
    <w:p w:rsidR="00F06D11" w:rsidRDefault="0038137D">
      <w:r>
        <w:t>Подписи членов комиссии:</w:t>
      </w:r>
    </w:p>
    <w:p w:rsidR="00F06D11" w:rsidRDefault="0038137D">
      <w:r>
        <w:t xml:space="preserve">Председатель </w:t>
      </w:r>
      <w:r>
        <w:rPr>
          <w:u w:val="single"/>
        </w:rPr>
        <w:t>    (должность)      </w:t>
      </w:r>
      <w:r>
        <w:t>/</w:t>
      </w:r>
      <w:r>
        <w:rPr>
          <w:u w:val="single"/>
        </w:rPr>
        <w:t>            (подпись)            </w:t>
      </w:r>
      <w:r>
        <w:t>/</w:t>
      </w:r>
      <w:r>
        <w:rPr>
          <w:u w:val="single"/>
        </w:rPr>
        <w:t>          (расшифровка)          </w:t>
      </w:r>
    </w:p>
    <w:p w:rsidR="00F06D11" w:rsidRDefault="0038137D">
      <w:pPr>
        <w:rPr>
          <w:u w:val="single"/>
        </w:rPr>
      </w:pPr>
      <w:r>
        <w:t xml:space="preserve">Члены комиссии: </w:t>
      </w:r>
      <w:r>
        <w:rPr>
          <w:u w:val="single"/>
        </w:rPr>
        <w:t>    (должность)      </w:t>
      </w:r>
      <w:r>
        <w:t>/</w:t>
      </w:r>
      <w:r>
        <w:rPr>
          <w:u w:val="single"/>
        </w:rPr>
        <w:t>            (подпись)            </w:t>
      </w:r>
      <w:r>
        <w:t>/</w:t>
      </w:r>
      <w:r>
        <w:rPr>
          <w:u w:val="single"/>
        </w:rPr>
        <w:t>          (расшифровка)          </w:t>
      </w:r>
    </w:p>
    <w:p w:rsidR="00F06D11" w:rsidRDefault="0038137D">
      <w:pPr>
        <w:rPr>
          <w:u w:val="single"/>
        </w:rPr>
      </w:pPr>
      <w:r>
        <w:rPr>
          <w:u w:val="single"/>
        </w:rPr>
        <w:t>    (должность)      </w:t>
      </w:r>
      <w:r>
        <w:t>/</w:t>
      </w:r>
      <w:r>
        <w:rPr>
          <w:u w:val="single"/>
        </w:rPr>
        <w:t>            (подпись)            </w:t>
      </w:r>
      <w:r>
        <w:t>/</w:t>
      </w:r>
      <w:r>
        <w:rPr>
          <w:u w:val="single"/>
        </w:rPr>
        <w:t>          (расшифровка)          </w:t>
      </w:r>
    </w:p>
    <w:p w:rsidR="00F06D11" w:rsidRDefault="0038137D">
      <w:r>
        <w:rPr>
          <w:u w:val="single"/>
        </w:rPr>
        <w:t>    (должность)      </w:t>
      </w:r>
      <w:r>
        <w:t>/</w:t>
      </w:r>
      <w:r>
        <w:rPr>
          <w:u w:val="single"/>
        </w:rPr>
        <w:t>            (подпись)            </w:t>
      </w:r>
      <w:r>
        <w:t>/</w:t>
      </w:r>
      <w:r>
        <w:rPr>
          <w:u w:val="single"/>
        </w:rPr>
        <w:t>          (расшифровка)          </w:t>
      </w:r>
    </w:p>
    <w:p w:rsidR="00F06D11" w:rsidRDefault="0038137D">
      <w:r>
        <w:t>Указанные в настоящем акте бланки строгой отчетности принял на</w:t>
      </w:r>
    </w:p>
    <w:p w:rsidR="00F06D11" w:rsidRDefault="0038137D">
      <w:r>
        <w:t xml:space="preserve">ответственное хранение и оприходовал в </w:t>
      </w:r>
      <w:r>
        <w:rPr>
          <w:u w:val="single"/>
        </w:rPr>
        <w:t>            (наименование документа)            </w:t>
      </w:r>
    </w:p>
    <w:p w:rsidR="00F06D11" w:rsidRDefault="0038137D">
      <w:pPr>
        <w:rPr>
          <w:u w:val="single"/>
        </w:rPr>
      </w:pPr>
      <w:r>
        <w:t>№ </w:t>
      </w:r>
      <w:r>
        <w:rPr>
          <w:u w:val="single"/>
        </w:rPr>
        <w:t>       </w:t>
      </w:r>
      <w:r>
        <w:t xml:space="preserve"> "</w:t>
      </w:r>
      <w:r>
        <w:rPr>
          <w:u w:val="single"/>
        </w:rPr>
        <w:t>       </w:t>
      </w:r>
      <w:r>
        <w:t xml:space="preserve">" </w:t>
      </w:r>
      <w:r>
        <w:rPr>
          <w:u w:val="single"/>
        </w:rPr>
        <w:t>                         </w:t>
      </w:r>
      <w:r>
        <w:t xml:space="preserve"> 20</w:t>
      </w:r>
      <w:r>
        <w:rPr>
          <w:u w:val="single"/>
        </w:rPr>
        <w:t>       </w:t>
      </w:r>
      <w:r>
        <w:t xml:space="preserve"> г.</w:t>
      </w:r>
    </w:p>
    <w:p w:rsidR="00F06D11" w:rsidRDefault="0038137D">
      <w:pPr>
        <w:sectPr w:rsidR="00F06D11">
          <w:headerReference w:type="even" r:id="rId230"/>
          <w:headerReference w:type="default" r:id="rId231"/>
          <w:footerReference w:type="even" r:id="rId232"/>
          <w:footerReference w:type="default" r:id="rId233"/>
          <w:headerReference w:type="first" r:id="rId234"/>
          <w:footerReference w:type="first" r:id="rId235"/>
          <w:pgSz w:w="16838" w:h="11906" w:orient="landscape"/>
          <w:pgMar w:top="766" w:right="863" w:bottom="766" w:left="1785" w:header="709" w:footer="709" w:gutter="0"/>
          <w:pgNumType w:start="44"/>
          <w:cols w:space="720"/>
          <w:formProt w:val="0"/>
          <w:docGrid w:linePitch="360"/>
        </w:sectPr>
      </w:pPr>
      <w:r>
        <w:rPr>
          <w:u w:val="single"/>
        </w:rPr>
        <w:t>    (должность)    </w:t>
      </w:r>
      <w:r>
        <w:t>/</w:t>
      </w:r>
      <w:r>
        <w:rPr>
          <w:u w:val="single"/>
        </w:rPr>
        <w:t>    (фамилия, инициалы)    </w:t>
      </w:r>
      <w:r>
        <w:t>/</w:t>
      </w:r>
      <w:r>
        <w:rPr>
          <w:u w:val="single"/>
        </w:rPr>
        <w:t>        (подпись)        </w:t>
      </w:r>
    </w:p>
    <w:p w:rsidR="00F06D11" w:rsidRDefault="0038137D">
      <w:pPr>
        <w:keepNext/>
        <w:keepLines/>
        <w:spacing w:before="6" w:after="6"/>
        <w:ind w:left="5499" w:firstLine="0"/>
        <w:jc w:val="left"/>
      </w:pPr>
      <w:r>
        <w:t>Приложение № 11</w:t>
      </w:r>
      <w:r>
        <w:br w:type="textWrapping" w:clear="all"/>
        <w:t>к Учетной политике</w:t>
      </w:r>
      <w:r>
        <w:br w:type="textWrapping" w:clear="all"/>
        <w:t xml:space="preserve">Исполнительного комитета </w:t>
      </w:r>
    </w:p>
    <w:p w:rsidR="00F06D11" w:rsidRDefault="0038137D">
      <w:pPr>
        <w:keepNext/>
        <w:keepLines/>
        <w:spacing w:before="6" w:after="6"/>
        <w:ind w:left="5499" w:firstLine="0"/>
        <w:jc w:val="left"/>
      </w:pPr>
      <w:r>
        <w:t>муниципального образования</w:t>
      </w:r>
    </w:p>
    <w:p w:rsidR="00F06D11" w:rsidRDefault="0038137D">
      <w:pPr>
        <w:spacing w:before="6" w:after="6"/>
        <w:ind w:left="5499" w:firstLine="0"/>
        <w:jc w:val="left"/>
      </w:pPr>
      <w:r>
        <w:t xml:space="preserve"> город Набережные Челны</w:t>
      </w:r>
    </w:p>
    <w:p w:rsidR="00F06D11" w:rsidRDefault="00620920">
      <w:pPr>
        <w:spacing w:before="6" w:after="6"/>
        <w:ind w:left="5499" w:firstLine="0"/>
        <w:jc w:val="left"/>
      </w:pPr>
      <w:r w:rsidRPr="00620920">
        <w:rPr>
          <w:rFonts w:eastAsia="Calibri"/>
        </w:rPr>
        <w:t>от «30»_12_2025 №3142-р</w:t>
      </w:r>
    </w:p>
    <w:p w:rsidR="00F06D11" w:rsidRDefault="00F06D11">
      <w:pPr>
        <w:spacing w:before="6" w:after="6" w:line="240" w:lineRule="auto"/>
        <w:ind w:left="5499" w:firstLine="0"/>
        <w:contextualSpacing/>
        <w:jc w:val="left"/>
      </w:pPr>
    </w:p>
    <w:p w:rsidR="00F06D11" w:rsidRDefault="0038137D">
      <w:pPr>
        <w:keepNext/>
        <w:keepLines/>
        <w:spacing w:before="0" w:after="300" w:line="240" w:lineRule="auto"/>
        <w:ind w:firstLine="0"/>
        <w:jc w:val="center"/>
        <w:outlineLvl w:val="0"/>
      </w:pPr>
      <w:r>
        <w:rPr>
          <w:spacing w:val="5"/>
        </w:rPr>
        <w:t>Порядок формирования и использования резервов предстоящих расходов</w:t>
      </w:r>
    </w:p>
    <w:p w:rsidR="00F06D11" w:rsidRDefault="00F06D11">
      <w:pPr>
        <w:spacing w:before="0" w:line="240" w:lineRule="auto"/>
        <w:ind w:left="482" w:firstLine="0"/>
        <w:jc w:val="center"/>
        <w:outlineLvl w:val="0"/>
      </w:pPr>
    </w:p>
    <w:p w:rsidR="00F06D11" w:rsidRDefault="0038137D">
      <w:pPr>
        <w:spacing w:before="0" w:line="240" w:lineRule="auto"/>
        <w:ind w:left="482" w:firstLine="0"/>
        <w:jc w:val="center"/>
        <w:outlineLvl w:val="0"/>
      </w:pPr>
      <w:r>
        <w:t>ГЛАВА 1. Общие положения</w:t>
      </w:r>
    </w:p>
    <w:p w:rsidR="00F06D11" w:rsidRDefault="00F06D11">
      <w:pPr>
        <w:spacing w:before="0" w:line="17" w:lineRule="exact"/>
        <w:ind w:left="482" w:firstLine="0"/>
        <w:jc w:val="center"/>
        <w:outlineLvl w:val="0"/>
      </w:pPr>
    </w:p>
    <w:p w:rsidR="00F06D11" w:rsidRDefault="0038137D">
      <w:pPr>
        <w:spacing w:line="283" w:lineRule="exact"/>
        <w:ind w:firstLine="709"/>
        <w:contextualSpacing/>
        <w:outlineLvl w:val="1"/>
      </w:pPr>
      <w:r>
        <w:t>1.В учете формируются следующие резервы:</w:t>
      </w:r>
    </w:p>
    <w:p w:rsidR="00F06D11" w:rsidRDefault="0038137D">
      <w:pPr>
        <w:spacing w:after="0" w:line="283" w:lineRule="exact"/>
        <w:ind w:firstLine="709"/>
        <w:contextualSpacing/>
      </w:pPr>
      <w:r>
        <w:t>1) резерв для оплаты отпусков за фактически отработанное время и выплаты компенсаций за неиспользованный отпуск, включая страховые взносы;</w:t>
      </w:r>
    </w:p>
    <w:p w:rsidR="00F06D11" w:rsidRDefault="0038137D">
      <w:pPr>
        <w:spacing w:after="0" w:line="283" w:lineRule="exact"/>
        <w:ind w:firstLine="709"/>
        <w:contextualSpacing/>
      </w:pPr>
      <w:r>
        <w:t>2) резерв для оплаты фактически осуществленных затрат, по которым не поступили документы контрагентов;</w:t>
      </w:r>
    </w:p>
    <w:p w:rsidR="00F06D11" w:rsidRDefault="0038137D">
      <w:pPr>
        <w:spacing w:after="0" w:line="283" w:lineRule="exact"/>
        <w:ind w:firstLine="709"/>
        <w:contextualSpacing/>
      </w:pPr>
      <w:r>
        <w:t>3) резерв для оплаты возникающих претензий и исков.</w:t>
      </w:r>
    </w:p>
    <w:p w:rsidR="00F06D11" w:rsidRDefault="0038137D">
      <w:pPr>
        <w:spacing w:line="283" w:lineRule="exact"/>
        <w:ind w:firstLine="709"/>
        <w:contextualSpacing/>
        <w:outlineLvl w:val="1"/>
      </w:pPr>
      <w:r>
        <w:t>2. Каждый резерв используется только на покрытие тех расходов, в отношении которых он был создан.</w:t>
      </w:r>
    </w:p>
    <w:p w:rsidR="00F06D11" w:rsidRDefault="0038137D">
      <w:pPr>
        <w:spacing w:line="283" w:lineRule="exact"/>
        <w:ind w:firstLine="709"/>
        <w:contextualSpacing/>
        <w:outlineLvl w:val="1"/>
      </w:pPr>
      <w:r>
        <w:t>3. Признание в учете расходов, в отношении которых сформирован резерв, осуществляется за счет суммы резерва. При его недостаточности соответствующие суммы отражаются в составе расходов текущего периода.</w:t>
      </w:r>
    </w:p>
    <w:p w:rsidR="00F06D11" w:rsidRDefault="0038137D">
      <w:pPr>
        <w:spacing w:before="0" w:after="0" w:line="283" w:lineRule="exact"/>
        <w:ind w:firstLine="709"/>
        <w:contextualSpacing/>
        <w:outlineLvl w:val="1"/>
      </w:pPr>
      <w:r>
        <w:t>4. Для отражения конкретных резервов на счете 0 401 60 000 вводятся аналитические коды в порядке, определенном Рабочим планом счетов.</w:t>
      </w:r>
    </w:p>
    <w:p w:rsidR="00F06D11" w:rsidRDefault="00F06D11">
      <w:pPr>
        <w:spacing w:before="0" w:after="0" w:line="283" w:lineRule="exact"/>
        <w:ind w:firstLine="709"/>
        <w:contextualSpacing/>
        <w:outlineLvl w:val="1"/>
      </w:pPr>
    </w:p>
    <w:p w:rsidR="00F06D11" w:rsidRDefault="0038137D">
      <w:pPr>
        <w:spacing w:before="0" w:after="0" w:line="283" w:lineRule="exact"/>
        <w:ind w:firstLine="0"/>
        <w:contextualSpacing/>
        <w:jc w:val="center"/>
        <w:outlineLvl w:val="0"/>
      </w:pPr>
      <w:r>
        <w:t>ГЛАВА 2. Резерв для оплаты отпусков</w:t>
      </w:r>
    </w:p>
    <w:p w:rsidR="00F06D11" w:rsidRDefault="00F06D11">
      <w:pPr>
        <w:spacing w:before="0" w:after="0" w:line="283" w:lineRule="exact"/>
        <w:ind w:firstLine="0"/>
        <w:contextualSpacing/>
        <w:jc w:val="center"/>
        <w:outlineLvl w:val="0"/>
      </w:pPr>
    </w:p>
    <w:p w:rsidR="00F06D11" w:rsidRDefault="0038137D">
      <w:pPr>
        <w:spacing w:before="0" w:after="0" w:line="283" w:lineRule="exact"/>
        <w:ind w:firstLine="709"/>
        <w:contextualSpacing/>
        <w:outlineLvl w:val="1"/>
      </w:pPr>
      <w:r>
        <w:t xml:space="preserve">5. В целях расчета резерва для оплаты отпусков осуществляется оценка обязательств по состоянию на конец каждого </w:t>
      </w:r>
      <w:r>
        <w:rPr>
          <w:u w:val="single"/>
        </w:rPr>
        <w:t>года</w:t>
      </w:r>
      <w:r>
        <w:t>.</w:t>
      </w:r>
    </w:p>
    <w:p w:rsidR="00F06D11" w:rsidRDefault="0038137D">
      <w:pPr>
        <w:spacing w:line="283" w:lineRule="exact"/>
        <w:ind w:firstLine="709"/>
        <w:contextualSpacing/>
        <w:outlineLvl w:val="1"/>
      </w:pPr>
      <w:r>
        <w:t>6. Резерв на оплату отпусков определяется на последний день расчетного периода исходя из количества дней неиспользованного отпуска по всем работникам на эту дату.</w:t>
      </w:r>
    </w:p>
    <w:p w:rsidR="00F06D11" w:rsidRDefault="0038137D">
      <w:pPr>
        <w:spacing w:line="283" w:lineRule="exact"/>
        <w:ind w:firstLine="709"/>
        <w:contextualSpacing/>
      </w:pPr>
      <w:r>
        <w:t>В число неиспользованных дней отпуска включаются только те дни, право на которые работники уже заработали, но не использовали на конец расчетного периода.</w:t>
      </w:r>
    </w:p>
    <w:p w:rsidR="00F06D11" w:rsidRDefault="0038137D">
      <w:pPr>
        <w:spacing w:line="283" w:lineRule="exact"/>
        <w:ind w:firstLine="709"/>
        <w:contextualSpacing/>
        <w:outlineLvl w:val="1"/>
      </w:pPr>
      <w:r>
        <w:t>7. Для определения размера обязательства за пять рабочих дней до окончания каждого расчетного периода формируются сведения о неиспользованных днях отпуска по каждому работнику по форме, согласно приложению к настоящему Порядку.</w:t>
      </w:r>
    </w:p>
    <w:p w:rsidR="00F06D11" w:rsidRDefault="0038137D">
      <w:pPr>
        <w:spacing w:line="283" w:lineRule="exact"/>
        <w:ind w:firstLine="709"/>
        <w:contextualSpacing/>
        <w:outlineLvl w:val="1"/>
      </w:pPr>
      <w:r>
        <w:t>8. Резерв для оплаты отпусков состоит из определяемых отдельно обязательств:</w:t>
      </w:r>
    </w:p>
    <w:p w:rsidR="00F06D11" w:rsidRDefault="0038137D">
      <w:pPr>
        <w:spacing w:line="283" w:lineRule="exact"/>
        <w:ind w:firstLine="709"/>
        <w:contextualSpacing/>
      </w:pPr>
      <w:r>
        <w:t>1) на оплату отпусков работникам;</w:t>
      </w:r>
    </w:p>
    <w:p w:rsidR="00F06D11" w:rsidRDefault="0038137D">
      <w:pPr>
        <w:spacing w:line="283" w:lineRule="exact"/>
        <w:ind w:firstLine="709"/>
        <w:contextualSpacing/>
      </w:pPr>
      <w:r>
        <w:t>2) на уплату страховых взносов.</w:t>
      </w:r>
    </w:p>
    <w:p w:rsidR="00F06D11" w:rsidRDefault="0038137D">
      <w:pPr>
        <w:spacing w:line="283" w:lineRule="exact"/>
        <w:ind w:firstLine="709"/>
        <w:contextualSpacing/>
        <w:outlineLvl w:val="1"/>
        <w:rPr>
          <w:lang w:bidi="ru-RU"/>
        </w:rPr>
      </w:pPr>
      <w:r>
        <w:t>9.Расчет оценки обязательства на оплату отпусков производится исходя из средней заработной платы по каждой группе персонала по формуле:</w:t>
      </w:r>
    </w:p>
    <w:tbl>
      <w:tblPr>
        <w:tblW w:w="5000" w:type="pct"/>
        <w:tblInd w:w="-109" w:type="dxa"/>
        <w:tblLayout w:type="fixed"/>
        <w:tblLook w:val="04A0" w:firstRow="1" w:lastRow="0" w:firstColumn="1" w:lastColumn="0" w:noHBand="0" w:noVBand="1"/>
      </w:tblPr>
      <w:tblGrid>
        <w:gridCol w:w="1914"/>
        <w:gridCol w:w="5743"/>
        <w:gridCol w:w="1914"/>
      </w:tblGrid>
      <w:tr w:rsidR="00F06D11">
        <w:tc>
          <w:tcPr>
            <w:tcW w:w="1871" w:type="dxa"/>
          </w:tcPr>
          <w:p w:rsidR="00F06D11" w:rsidRDefault="00F06D11">
            <w:pPr>
              <w:keepNext/>
              <w:spacing w:line="283" w:lineRule="exact"/>
              <w:contextualSpacing/>
              <w:jc w:val="left"/>
              <w:rPr>
                <w:lang w:bidi="ru-RU"/>
              </w:rPr>
            </w:pPr>
          </w:p>
        </w:tc>
        <w:tc>
          <w:tcPr>
            <w:tcW w:w="5613" w:type="dxa"/>
          </w:tcPr>
          <w:p w:rsidR="00F06D11" w:rsidRDefault="0038137D">
            <w:pPr>
              <w:keepNext/>
              <w:spacing w:line="283" w:lineRule="exact"/>
              <w:ind w:firstLine="0"/>
              <w:contextualSpacing/>
              <w:jc w:val="left"/>
            </w:pPr>
            <w:r>
              <w:rPr>
                <w:lang w:bidi="ru-RU"/>
              </w:rPr>
              <w:t>Обязательство на оплату отпусков = ∑(К</w:t>
            </w:r>
            <w:r>
              <w:rPr>
                <w:vertAlign w:val="subscript"/>
                <w:lang w:bidi="ru-RU"/>
              </w:rPr>
              <w:t xml:space="preserve">n </w:t>
            </w:r>
            <w:r>
              <w:rPr>
                <w:lang w:bidi="ru-RU"/>
              </w:rPr>
              <w:t>х СДЗ</w:t>
            </w:r>
            <w:r>
              <w:rPr>
                <w:vertAlign w:val="subscript"/>
                <w:lang w:bidi="ru-RU"/>
              </w:rPr>
              <w:t>n</w:t>
            </w:r>
            <w:r>
              <w:rPr>
                <w:lang w:bidi="ru-RU"/>
              </w:rPr>
              <w:t>),</w:t>
            </w:r>
          </w:p>
        </w:tc>
        <w:tc>
          <w:tcPr>
            <w:tcW w:w="1871" w:type="dxa"/>
          </w:tcPr>
          <w:p w:rsidR="00F06D11" w:rsidRDefault="00F06D11">
            <w:pPr>
              <w:keepNext/>
              <w:spacing w:line="283" w:lineRule="exact"/>
              <w:ind w:firstLine="0"/>
              <w:contextualSpacing/>
              <w:jc w:val="left"/>
              <w:rPr>
                <w:lang w:bidi="ru-RU"/>
              </w:rPr>
            </w:pPr>
          </w:p>
        </w:tc>
      </w:tr>
    </w:tbl>
    <w:p w:rsidR="00F06D11" w:rsidRDefault="0038137D">
      <w:pPr>
        <w:spacing w:line="283" w:lineRule="exact"/>
        <w:contextualSpacing/>
      </w:pPr>
      <w:r>
        <w:t>где К</w:t>
      </w:r>
      <w:r>
        <w:rPr>
          <w:vertAlign w:val="subscript"/>
        </w:rPr>
        <w:t>n</w:t>
      </w:r>
      <w:r>
        <w:t xml:space="preserve"> - количество не использованных работниками n-ой группы дней отпуска по состоянию на конец расчетного периода;</w:t>
      </w:r>
    </w:p>
    <w:p w:rsidR="00F06D11" w:rsidRDefault="0038137D">
      <w:pPr>
        <w:spacing w:line="283" w:lineRule="exact"/>
        <w:contextualSpacing/>
      </w:pPr>
      <w:r>
        <w:t>СДЗ</w:t>
      </w:r>
      <w:r>
        <w:rPr>
          <w:vertAlign w:val="subscript"/>
        </w:rPr>
        <w:t>n</w:t>
      </w:r>
      <w:r>
        <w:t xml:space="preserve"> - средний дневной заработок работников n-ой группы, определяемый по состоянию на конец расчетного периода в соответствии с </w:t>
      </w:r>
      <w:hyperlink r:id="rId236" w:tgtFrame="https://cloud.consultant.ru/cloud/cgi/online.cgi?req=doc&amp;amp;base=LAW&amp;amp;n=504093&amp;amp;fld=134&amp;amp;dst=100047&amp;amp;date=20.08.2025&amp;amp;last=1">
        <w:r>
          <w:rPr>
            <w:rStyle w:val="af0"/>
            <w:color w:val="000000" w:themeColor="text1"/>
            <w:u w:val="none"/>
          </w:rPr>
          <w:t>Положением</w:t>
        </w:r>
      </w:hyperlink>
      <w:r>
        <w:t xml:space="preserve"> об особенностях порядка исчисления средней заработной платы, утверждённым Постановлением Правительства Российской Федерации от 24.04.2025 №540. </w:t>
      </w:r>
    </w:p>
    <w:p w:rsidR="00F06D11" w:rsidRDefault="0038137D">
      <w:pPr>
        <w:spacing w:line="283" w:lineRule="exact"/>
        <w:contextualSpacing/>
      </w:pPr>
      <w:r>
        <w:t>n - число групп персонала.</w:t>
      </w:r>
    </w:p>
    <w:p w:rsidR="00F06D11" w:rsidRDefault="0038137D">
      <w:pPr>
        <w:spacing w:line="283" w:lineRule="exact"/>
        <w:ind w:left="482" w:firstLine="0"/>
        <w:contextualSpacing/>
        <w:outlineLvl w:val="1"/>
        <w:rPr>
          <w:lang w:bidi="ru-RU"/>
        </w:rPr>
      </w:pPr>
      <w:r>
        <w:t>10.Оценка обязательств по сумме страховых взносов рассчитывается по формуле:</w:t>
      </w:r>
    </w:p>
    <w:tbl>
      <w:tblPr>
        <w:tblW w:w="5000" w:type="pct"/>
        <w:tblInd w:w="-109" w:type="dxa"/>
        <w:tblLayout w:type="fixed"/>
        <w:tblLook w:val="04A0" w:firstRow="1" w:lastRow="0" w:firstColumn="1" w:lastColumn="0" w:noHBand="0" w:noVBand="1"/>
      </w:tblPr>
      <w:tblGrid>
        <w:gridCol w:w="573"/>
        <w:gridCol w:w="8518"/>
        <w:gridCol w:w="480"/>
      </w:tblGrid>
      <w:tr w:rsidR="00F06D11">
        <w:tc>
          <w:tcPr>
            <w:tcW w:w="560" w:type="dxa"/>
          </w:tcPr>
          <w:p w:rsidR="00F06D11" w:rsidRDefault="00F06D11">
            <w:pPr>
              <w:keepNext/>
              <w:spacing w:line="283" w:lineRule="exact"/>
              <w:contextualSpacing/>
              <w:jc w:val="left"/>
              <w:rPr>
                <w:lang w:bidi="ru-RU"/>
              </w:rPr>
            </w:pPr>
          </w:p>
        </w:tc>
        <w:tc>
          <w:tcPr>
            <w:tcW w:w="8326" w:type="dxa"/>
          </w:tcPr>
          <w:p w:rsidR="00F06D11" w:rsidRDefault="0038137D">
            <w:pPr>
              <w:keepNext/>
              <w:spacing w:line="283" w:lineRule="exact"/>
              <w:ind w:firstLine="0"/>
              <w:contextualSpacing/>
              <w:jc w:val="left"/>
            </w:pPr>
            <w:r>
              <w:rPr>
                <w:lang w:bidi="ru-RU"/>
              </w:rPr>
              <w:t>Обязательство на уплату страховых взносов = Обязательство на оплату отпусков x С,</w:t>
            </w:r>
          </w:p>
        </w:tc>
        <w:tc>
          <w:tcPr>
            <w:tcW w:w="469" w:type="dxa"/>
          </w:tcPr>
          <w:p w:rsidR="00F06D11" w:rsidRDefault="00F06D11">
            <w:pPr>
              <w:keepNext/>
              <w:spacing w:line="283" w:lineRule="exact"/>
              <w:ind w:firstLine="0"/>
              <w:contextualSpacing/>
              <w:jc w:val="left"/>
              <w:rPr>
                <w:lang w:bidi="ru-RU"/>
              </w:rPr>
            </w:pPr>
          </w:p>
        </w:tc>
      </w:tr>
    </w:tbl>
    <w:p w:rsidR="00F06D11" w:rsidRDefault="0038137D">
      <w:pPr>
        <w:spacing w:line="283" w:lineRule="exact"/>
        <w:ind w:firstLine="709"/>
        <w:contextualSpacing/>
      </w:pPr>
      <w:r>
        <w:t>где С - средневзвешенная ставка страховых взносов за последний месяц соответствующего периода.</w:t>
      </w:r>
    </w:p>
    <w:p w:rsidR="00F06D11" w:rsidRDefault="0038137D">
      <w:pPr>
        <w:spacing w:line="283" w:lineRule="exact"/>
        <w:ind w:firstLine="709"/>
        <w:contextualSpacing/>
        <w:outlineLvl w:val="1"/>
      </w:pPr>
      <w:r>
        <w:t>11.Сумма резерва для оплаты отпусков по состоянию на конец расчетного периода определяется как сумма величины обязательства на оплату отпусков и обязательства на уплату страховых взносов.</w:t>
      </w:r>
    </w:p>
    <w:p w:rsidR="00F06D11" w:rsidRDefault="0038137D">
      <w:pPr>
        <w:spacing w:line="283" w:lineRule="exact"/>
        <w:ind w:firstLine="709"/>
        <w:contextualSpacing/>
        <w:outlineLvl w:val="1"/>
      </w:pPr>
      <w:r>
        <w:t>12.Расчет оценки обязательств и суммы резерва для оплаты отпусков оформляется отдельным документом произвольной формы, который подписывают исполнитель и лицо, ответственное за ведение учета.</w:t>
      </w:r>
    </w:p>
    <w:p w:rsidR="00F06D11" w:rsidRDefault="0038137D">
      <w:pPr>
        <w:spacing w:line="283" w:lineRule="exact"/>
        <w:ind w:firstLine="709"/>
        <w:contextualSpacing/>
        <w:outlineLvl w:val="1"/>
      </w:pPr>
      <w:r>
        <w:t>13.Если рассчитанная величина резерва для оплаты отпусков больше суммы резерва, фактически учтенной на счете, резерв увеличивается на разницу между этими величинами. Доначисленная сумма резерва относится на расходы текущего финансового года.</w:t>
      </w:r>
    </w:p>
    <w:p w:rsidR="00F06D11" w:rsidRDefault="0038137D">
      <w:pPr>
        <w:spacing w:before="0" w:after="0" w:line="283" w:lineRule="exact"/>
        <w:ind w:firstLine="709"/>
        <w:contextualSpacing/>
        <w:outlineLvl w:val="1"/>
      </w:pPr>
      <w:r>
        <w:t>14.Если рассчитанная величина резерва для оплаты отпусков меньше суммы резерва, фактически учтенной на счете, резерв уменьшается на разницу между этими величинами. Сумма уменьшения резерва относится на уменьшение расходов текущего финансового года.</w:t>
      </w:r>
    </w:p>
    <w:p w:rsidR="00F06D11" w:rsidRDefault="00F06D11">
      <w:pPr>
        <w:spacing w:before="0" w:after="0" w:line="283" w:lineRule="exact"/>
        <w:ind w:firstLine="709"/>
        <w:contextualSpacing/>
        <w:outlineLvl w:val="1"/>
      </w:pPr>
    </w:p>
    <w:p w:rsidR="00F06D11" w:rsidRDefault="0038137D">
      <w:pPr>
        <w:spacing w:before="0" w:after="0" w:line="283" w:lineRule="exact"/>
        <w:ind w:firstLine="709"/>
        <w:contextualSpacing/>
        <w:jc w:val="center"/>
        <w:outlineLvl w:val="0"/>
      </w:pPr>
      <w:r>
        <w:t>ГЛАВА 3. Резерв для оплаты фактически осуществленных затрат,</w:t>
      </w:r>
      <w:r>
        <w:br w:type="textWrapping" w:clear="all"/>
        <w:t>по которым не поступили документы</w:t>
      </w:r>
    </w:p>
    <w:p w:rsidR="00F06D11" w:rsidRDefault="00F06D11">
      <w:pPr>
        <w:spacing w:before="0" w:after="0" w:line="283" w:lineRule="exact"/>
        <w:ind w:firstLine="709"/>
        <w:contextualSpacing/>
        <w:jc w:val="center"/>
        <w:outlineLvl w:val="0"/>
      </w:pPr>
    </w:p>
    <w:p w:rsidR="00F06D11" w:rsidRDefault="0038137D">
      <w:pPr>
        <w:spacing w:before="0" w:after="0" w:line="283" w:lineRule="exact"/>
        <w:ind w:firstLine="709"/>
        <w:contextualSpacing/>
        <w:outlineLvl w:val="1"/>
      </w:pPr>
      <w:r>
        <w:t>15. Резерв по расходам без документов создается в случае, когда расходы фактически осуществлены, однако по любым причинам соответствующие документы от контрагента не получены.</w:t>
      </w:r>
    </w:p>
    <w:p w:rsidR="00F06D11" w:rsidRDefault="0038137D">
      <w:pPr>
        <w:spacing w:line="283" w:lineRule="exact"/>
        <w:ind w:firstLine="709"/>
        <w:contextualSpacing/>
        <w:outlineLvl w:val="1"/>
      </w:pPr>
      <w:r>
        <w:t>16. Примеры расходов, по которым создается резерв:</w:t>
      </w:r>
    </w:p>
    <w:p w:rsidR="00F06D11" w:rsidRDefault="0038137D">
      <w:pPr>
        <w:spacing w:line="283" w:lineRule="exact"/>
        <w:ind w:firstLine="709"/>
        <w:contextualSpacing/>
      </w:pPr>
      <w:r>
        <w:t>1) расходы на электроэнергию, тепловую энергию, водоснабжение и т.п., по которым не поступили счета ресурсоснабжающих организаций;</w:t>
      </w:r>
    </w:p>
    <w:p w:rsidR="00F06D11" w:rsidRDefault="0038137D">
      <w:pPr>
        <w:spacing w:line="283" w:lineRule="exact"/>
        <w:ind w:firstLine="709"/>
        <w:contextualSpacing/>
      </w:pPr>
      <w:r>
        <w:t>2) расходы в виде периодических платежей, если имеются основания для их осуществления, установленные нормативными актами и (или) договором;</w:t>
      </w:r>
    </w:p>
    <w:p w:rsidR="00F06D11" w:rsidRDefault="0038137D">
      <w:pPr>
        <w:spacing w:line="283" w:lineRule="exact"/>
        <w:ind w:firstLine="709"/>
        <w:contextualSpacing/>
      </w:pPr>
      <w:r>
        <w:t>3) расходы в виде предстоящей оплаты за поставленные материальные ценности, сданные работы, предоставленные (потребленные) услуги, обусловленные обязанностью заказчика принять и исполнить денежное обязательство по результатам приемки поставленных товаров (выполненных работ, оказанных услуг), в случае оформления документа о приемке не в момент поставки товара (сдачи результатов работ, услуг).</w:t>
      </w:r>
    </w:p>
    <w:p w:rsidR="00F06D11" w:rsidRDefault="0038137D">
      <w:pPr>
        <w:spacing w:line="283" w:lineRule="exact"/>
        <w:ind w:firstLine="709"/>
        <w:contextualSpacing/>
        <w:outlineLvl w:val="1"/>
      </w:pPr>
      <w:r>
        <w:t>17. Работник, ответственный за осуществление расходов и (или) за взаимодействие с соответствующим контрагентом, обязан сообщить лицу, ответственному за ведение учета и составление отчетности, о фактическом осуществлении расходов и об отсутствии документов контрагента не позднее рабочего дня, следующего за днем, когда документы должны были быть получены.</w:t>
      </w:r>
    </w:p>
    <w:p w:rsidR="00F06D11" w:rsidRDefault="0038137D">
      <w:pPr>
        <w:spacing w:line="283" w:lineRule="exact"/>
        <w:ind w:firstLine="709"/>
        <w:contextualSpacing/>
        <w:outlineLvl w:val="1"/>
      </w:pPr>
      <w:r>
        <w:t>18. Резерв создается в сумме, отражающей наиболее достоверную денежную оценку расходов, необходимых для расчетов с контрагентом.</w:t>
      </w:r>
    </w:p>
    <w:p w:rsidR="00F06D11" w:rsidRDefault="0038137D">
      <w:pPr>
        <w:spacing w:line="283" w:lineRule="exact"/>
        <w:ind w:firstLine="709"/>
        <w:contextualSpacing/>
        <w:outlineLvl w:val="1"/>
      </w:pPr>
      <w:r>
        <w:t>19. Наиболее достоверная оценка расходов представляет собой величину, необходимую непосредственно для исполнения (погашения) обязательства перед контрагентом по состоянию на отчетную дату или для перевода обязательства перед контрагентом на другое лицо по состоянию на отчетную дату.</w:t>
      </w:r>
    </w:p>
    <w:p w:rsidR="00F06D11" w:rsidRDefault="0038137D">
      <w:pPr>
        <w:spacing w:line="283" w:lineRule="exact"/>
        <w:ind w:firstLine="709"/>
        <w:contextualSpacing/>
        <w:outlineLvl w:val="1"/>
      </w:pPr>
      <w:r>
        <w:t>20. Величина создаваемого резерва определяется комиссией по поступлению и выбытию активов. Решение о создании резерва и его сумме оформляется соответствующим протоколом.</w:t>
      </w:r>
    </w:p>
    <w:p w:rsidR="00F06D11" w:rsidRDefault="0038137D">
      <w:pPr>
        <w:spacing w:line="283" w:lineRule="exact"/>
        <w:ind w:firstLine="709"/>
        <w:contextualSpacing/>
        <w:outlineLvl w:val="1"/>
      </w:pPr>
      <w:r>
        <w:t>21. На основании поступивших от контрагента документов фактические расходы отражаются следующим образом:</w:t>
      </w:r>
    </w:p>
    <w:p w:rsidR="00F06D11" w:rsidRDefault="0038137D">
      <w:pPr>
        <w:spacing w:line="283" w:lineRule="exact"/>
        <w:ind w:firstLine="709"/>
        <w:contextualSpacing/>
      </w:pPr>
      <w:r>
        <w:t>1) если сумма фактических расходов меньше величины созданного резерва, то расходы относятся полностью за счет резерва, а оставшаяся величина резерва списывается на уменьшение расходов текущего финансового года;</w:t>
      </w:r>
    </w:p>
    <w:p w:rsidR="00F06D11" w:rsidRDefault="0038137D">
      <w:pPr>
        <w:spacing w:before="0" w:after="0" w:line="283" w:lineRule="exact"/>
        <w:ind w:firstLine="709"/>
      </w:pPr>
      <w:r>
        <w:t>2) если сумма фактических расходов превышает величину созданного резерва, то расходы относятся за счет резерва в полной сумме резерва, а оставшаяся величина расходов относится за счет расходов текущего финансового года.</w:t>
      </w:r>
    </w:p>
    <w:p w:rsidR="00F06D11" w:rsidRDefault="00F06D11">
      <w:pPr>
        <w:spacing w:before="0" w:after="0" w:line="283" w:lineRule="exact"/>
        <w:ind w:firstLine="709"/>
      </w:pPr>
    </w:p>
    <w:p w:rsidR="00F06D11" w:rsidRDefault="0038137D">
      <w:pPr>
        <w:spacing w:before="0" w:after="0" w:line="283" w:lineRule="exact"/>
        <w:ind w:firstLine="709"/>
        <w:jc w:val="center"/>
        <w:outlineLvl w:val="0"/>
      </w:pPr>
      <w:r>
        <w:t>ГЛАВА 4. Резерв для оплаты возникающих претензий и исков</w:t>
      </w:r>
    </w:p>
    <w:p w:rsidR="00F06D11" w:rsidRDefault="00F06D11">
      <w:pPr>
        <w:spacing w:before="0" w:after="0" w:line="283" w:lineRule="exact"/>
        <w:ind w:firstLine="709"/>
        <w:jc w:val="center"/>
        <w:outlineLvl w:val="0"/>
      </w:pPr>
    </w:p>
    <w:p w:rsidR="00F06D11" w:rsidRDefault="0038137D">
      <w:pPr>
        <w:spacing w:before="0" w:after="0" w:line="283" w:lineRule="exact"/>
        <w:ind w:firstLine="709"/>
        <w:outlineLvl w:val="1"/>
      </w:pPr>
      <w:r>
        <w:t>22. Резерв по претензиям, искам признается на основании предъявленных претензий, исков в следующем порядке:</w:t>
      </w:r>
    </w:p>
    <w:p w:rsidR="00F06D11" w:rsidRDefault="0038137D">
      <w:pPr>
        <w:spacing w:line="283" w:lineRule="exact"/>
        <w:ind w:firstLine="709"/>
        <w:contextualSpacing/>
      </w:pPr>
      <w:r>
        <w:t>1) по оспоримым претензионным требованиям, по которым предполагается досудебное урегулирование, - на дату получения претензионного требования;</w:t>
      </w:r>
    </w:p>
    <w:p w:rsidR="00F06D11" w:rsidRDefault="0038137D">
      <w:pPr>
        <w:spacing w:line="283" w:lineRule="exact"/>
        <w:ind w:firstLine="709"/>
        <w:contextualSpacing/>
      </w:pPr>
      <w:r>
        <w:t>2) по оспоримым исковым требованиям, по которым не предполагается досудебное урегулирование, - на дату уведомления о принятии иска к судебному производству.</w:t>
      </w:r>
    </w:p>
    <w:p w:rsidR="00F06D11" w:rsidRDefault="0038137D">
      <w:pPr>
        <w:spacing w:line="283" w:lineRule="exact"/>
        <w:ind w:firstLine="709"/>
        <w:contextualSpacing/>
        <w:outlineLvl w:val="1"/>
      </w:pPr>
      <w:r>
        <w:t>23. Размер резерва по претензиям, искам признается в полной сумме претензионных требований и исков.</w:t>
      </w:r>
    </w:p>
    <w:p w:rsidR="00F06D11" w:rsidRDefault="0038137D">
      <w:pPr>
        <w:spacing w:line="283" w:lineRule="exact"/>
        <w:ind w:firstLine="709"/>
        <w:contextualSpacing/>
        <w:outlineLvl w:val="1"/>
      </w:pPr>
      <w:r>
        <w:t>24. В случае избыточности суммы признанного резерва или в случае прекращения выполнения условий признания резерва, неиспользованная сумма резерва списывается с отнесением на уменьшение расходов текущего периода.</w:t>
      </w:r>
    </w:p>
    <w:p w:rsidR="00F06D11" w:rsidRDefault="0038137D">
      <w:pPr>
        <w:spacing w:line="283" w:lineRule="exact"/>
        <w:ind w:firstLine="709"/>
        <w:contextualSpacing/>
        <w:outlineLvl w:val="1"/>
      </w:pPr>
      <w:r>
        <w:t>25. В случае недостаточности суммы признанного резерва разница между суммой признанного резерва и затратами по исполнению претензий, рисков признается расходами текущего периода.</w:t>
      </w:r>
    </w:p>
    <w:p w:rsidR="00F06D11" w:rsidRDefault="0038137D">
      <w:pPr>
        <w:spacing w:line="283" w:lineRule="exact"/>
        <w:ind w:firstLine="709"/>
        <w:contextualSpacing/>
        <w:outlineLvl w:val="1"/>
      </w:pPr>
      <w:r>
        <w:t>26. Резерв по претензиям, искам, удовлетворяемым за счет казны, признается только в случае претензионного (досудебного) урегулирования предъявленных требований и (или) при наличии оснований для обжалования судебного акта.</w:t>
      </w:r>
    </w:p>
    <w:p w:rsidR="00F06D11" w:rsidRDefault="0038137D">
      <w:pPr>
        <w:spacing w:line="283" w:lineRule="exact"/>
        <w:ind w:firstLine="709"/>
        <w:contextualSpacing/>
      </w:pPr>
      <w:r>
        <w:t>Если основания для обжалования претензионного (досудебного) урегулирования предъявленных требований и (или) предъявления судебного акта отсутствуют, то в таком случае резерв не создается. В этом случае признается обязательство по судебному акту (исполнительному листу).</w:t>
      </w:r>
    </w:p>
    <w:p w:rsidR="00F06D11" w:rsidRDefault="00F06D11">
      <w:pPr>
        <w:keepNext/>
        <w:keepLines/>
        <w:spacing w:line="283" w:lineRule="exact"/>
        <w:ind w:firstLine="709"/>
        <w:contextualSpacing/>
        <w:jc w:val="right"/>
      </w:pPr>
    </w:p>
    <w:p w:rsidR="00F06D11" w:rsidRDefault="00F06D11">
      <w:pPr>
        <w:spacing w:line="283" w:lineRule="exact"/>
        <w:ind w:firstLine="709"/>
        <w:contextualSpacing/>
        <w:jc w:val="right"/>
      </w:pPr>
    </w:p>
    <w:p w:rsidR="00F06D11" w:rsidRDefault="00F06D11">
      <w:pPr>
        <w:spacing w:line="283" w:lineRule="exact"/>
        <w:ind w:firstLine="709"/>
        <w:contextualSpacing/>
        <w:jc w:val="right"/>
      </w:pPr>
    </w:p>
    <w:p w:rsidR="00F06D11" w:rsidRDefault="00F06D11">
      <w:pPr>
        <w:ind w:firstLine="709"/>
        <w:jc w:val="right"/>
      </w:pPr>
    </w:p>
    <w:p w:rsidR="00F06D11" w:rsidRDefault="00F06D11">
      <w:pPr>
        <w:ind w:firstLine="709"/>
        <w:jc w:val="right"/>
      </w:pPr>
    </w:p>
    <w:p w:rsidR="00F06D11" w:rsidRDefault="00F06D11">
      <w:pPr>
        <w:ind w:firstLine="709"/>
        <w:jc w:val="right"/>
      </w:pPr>
    </w:p>
    <w:p w:rsidR="00F06D11" w:rsidRDefault="00F06D11">
      <w:pPr>
        <w:ind w:firstLine="709"/>
        <w:jc w:val="right"/>
      </w:pPr>
    </w:p>
    <w:p w:rsidR="00F06D11" w:rsidRDefault="00F06D11">
      <w:pPr>
        <w:ind w:firstLine="709"/>
        <w:jc w:val="right"/>
      </w:pPr>
    </w:p>
    <w:p w:rsidR="00F06D11" w:rsidRDefault="00F06D11">
      <w:pPr>
        <w:ind w:firstLine="0"/>
        <w:jc w:val="right"/>
      </w:pPr>
    </w:p>
    <w:p w:rsidR="00F06D11" w:rsidRDefault="00F06D11">
      <w:pPr>
        <w:ind w:firstLine="0"/>
        <w:jc w:val="right"/>
      </w:pPr>
    </w:p>
    <w:p w:rsidR="00F06D11" w:rsidRDefault="00F06D11">
      <w:pPr>
        <w:ind w:firstLine="0"/>
        <w:jc w:val="right"/>
      </w:pPr>
    </w:p>
    <w:p w:rsidR="00F06D11" w:rsidRDefault="00F06D11">
      <w:pPr>
        <w:ind w:firstLine="0"/>
        <w:jc w:val="right"/>
      </w:pPr>
    </w:p>
    <w:p w:rsidR="00620920" w:rsidRDefault="00620920">
      <w:pPr>
        <w:ind w:firstLine="0"/>
        <w:jc w:val="right"/>
      </w:pPr>
    </w:p>
    <w:p w:rsidR="00620920" w:rsidRDefault="00620920">
      <w:pPr>
        <w:ind w:firstLine="0"/>
        <w:jc w:val="right"/>
      </w:pPr>
    </w:p>
    <w:p w:rsidR="00F06D11" w:rsidRDefault="00F06D11">
      <w:pPr>
        <w:ind w:firstLine="0"/>
        <w:jc w:val="right"/>
      </w:pPr>
    </w:p>
    <w:p w:rsidR="00F06D11" w:rsidRDefault="00F06D11">
      <w:pPr>
        <w:ind w:firstLine="0"/>
        <w:jc w:val="right"/>
      </w:pPr>
    </w:p>
    <w:p w:rsidR="00F06D11" w:rsidRDefault="00F06D11">
      <w:pPr>
        <w:ind w:firstLine="0"/>
        <w:jc w:val="right"/>
      </w:pPr>
    </w:p>
    <w:p w:rsidR="00F06D11" w:rsidRDefault="0038137D">
      <w:pPr>
        <w:keepNext/>
        <w:keepLines/>
        <w:spacing w:before="0" w:after="0"/>
        <w:ind w:left="6123" w:firstLine="0"/>
        <w:jc w:val="left"/>
      </w:pPr>
      <w:r>
        <w:t>Приложение </w:t>
      </w:r>
    </w:p>
    <w:p w:rsidR="00F06D11" w:rsidRDefault="0038137D">
      <w:pPr>
        <w:spacing w:before="0" w:after="0"/>
        <w:ind w:left="6123" w:firstLine="0"/>
        <w:jc w:val="left"/>
      </w:pPr>
      <w:r>
        <w:t xml:space="preserve">к Порядку формирования </w:t>
      </w:r>
    </w:p>
    <w:p w:rsidR="00F06D11" w:rsidRDefault="0038137D">
      <w:pPr>
        <w:spacing w:before="0" w:after="0"/>
        <w:ind w:left="6123" w:firstLine="0"/>
        <w:jc w:val="left"/>
      </w:pPr>
      <w:r>
        <w:t>и использования резервов</w:t>
      </w:r>
    </w:p>
    <w:p w:rsidR="00F06D11" w:rsidRDefault="0038137D">
      <w:pPr>
        <w:spacing w:before="0" w:after="0"/>
        <w:ind w:left="6123" w:firstLine="0"/>
        <w:jc w:val="left"/>
      </w:pPr>
      <w:r>
        <w:t>предстоящих расходов</w:t>
      </w:r>
    </w:p>
    <w:p w:rsidR="00F06D11" w:rsidRDefault="00F06D11">
      <w:pPr>
        <w:spacing w:before="0" w:after="0"/>
        <w:ind w:left="6123" w:firstLine="0"/>
        <w:jc w:val="left"/>
      </w:pPr>
    </w:p>
    <w:p w:rsidR="00F06D11" w:rsidRDefault="0038137D">
      <w:pPr>
        <w:jc w:val="center"/>
        <w:rPr>
          <w:lang w:bidi="ru-RU"/>
        </w:rPr>
      </w:pPr>
      <w:r>
        <w:t>Сведения о количестве неиспользованных дней отпуска</w:t>
      </w:r>
      <w:r>
        <w:br w:type="textWrapping" w:clear="all"/>
        <w:t>по состоянию на "</w:t>
      </w:r>
      <w:r>
        <w:rPr>
          <w:u w:val="single"/>
        </w:rPr>
        <w:t>       </w:t>
      </w:r>
      <w:r>
        <w:t xml:space="preserve">" </w:t>
      </w:r>
      <w:r>
        <w:rPr>
          <w:u w:val="single"/>
        </w:rPr>
        <w:t>                 </w:t>
      </w:r>
      <w:r>
        <w:t xml:space="preserve"> 20</w:t>
      </w:r>
      <w:r>
        <w:rPr>
          <w:u w:val="single"/>
        </w:rPr>
        <w:t>       </w:t>
      </w:r>
      <w:r>
        <w:t xml:space="preserve"> г.</w:t>
      </w:r>
    </w:p>
    <w:tbl>
      <w:tblPr>
        <w:tblW w:w="5000" w:type="pct"/>
        <w:tblInd w:w="-109" w:type="dxa"/>
        <w:tblLayout w:type="fixed"/>
        <w:tblLook w:val="04A0" w:firstRow="1" w:lastRow="0" w:firstColumn="1" w:lastColumn="0" w:noHBand="0" w:noVBand="1"/>
      </w:tblPr>
      <w:tblGrid>
        <w:gridCol w:w="666"/>
        <w:gridCol w:w="2300"/>
        <w:gridCol w:w="2585"/>
        <w:gridCol w:w="4020"/>
      </w:tblGrid>
      <w:tr w:rsidR="00F06D11">
        <w:tc>
          <w:tcPr>
            <w:tcW w:w="651"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 п/п</w:t>
            </w:r>
          </w:p>
        </w:tc>
        <w:tc>
          <w:tcPr>
            <w:tcW w:w="2248"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Должность работника</w:t>
            </w:r>
          </w:p>
        </w:tc>
        <w:tc>
          <w:tcPr>
            <w:tcW w:w="2526"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Ф.И.О.</w:t>
            </w:r>
          </w:p>
        </w:tc>
        <w:tc>
          <w:tcPr>
            <w:tcW w:w="3929"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Количество неиспользованных дней отпуска за фактически отработанное время</w:t>
            </w:r>
          </w:p>
        </w:tc>
      </w:tr>
      <w:tr w:rsidR="00F06D11">
        <w:tc>
          <w:tcPr>
            <w:tcW w:w="651"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248"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526"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3929"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r>
    </w:tbl>
    <w:p w:rsidR="00F06D11" w:rsidRDefault="00F06D11"/>
    <w:tbl>
      <w:tblPr>
        <w:tblW w:w="7845" w:type="dxa"/>
        <w:tblInd w:w="-109" w:type="dxa"/>
        <w:tblLayout w:type="fixed"/>
        <w:tblLook w:val="04A0" w:firstRow="1" w:lastRow="0" w:firstColumn="1" w:lastColumn="0" w:noHBand="0" w:noVBand="1"/>
      </w:tblPr>
      <w:tblGrid>
        <w:gridCol w:w="3269"/>
        <w:gridCol w:w="1831"/>
        <w:gridCol w:w="2745"/>
      </w:tblGrid>
      <w:tr w:rsidR="00F06D11">
        <w:tc>
          <w:tcPr>
            <w:tcW w:w="3269" w:type="dxa"/>
          </w:tcPr>
          <w:p w:rsidR="00F06D11" w:rsidRDefault="0038137D">
            <w:pPr>
              <w:keepNext/>
              <w:ind w:firstLine="0"/>
              <w:jc w:val="left"/>
            </w:pPr>
            <w:r>
              <w:rPr>
                <w:lang w:bidi="ru-RU"/>
              </w:rPr>
              <w:t xml:space="preserve">Исполнитель </w:t>
            </w:r>
            <w:r>
              <w:rPr>
                <w:u w:val="single"/>
                <w:lang w:bidi="ru-RU"/>
              </w:rPr>
              <w:t>    (должность)</w:t>
            </w:r>
          </w:p>
        </w:tc>
        <w:tc>
          <w:tcPr>
            <w:tcW w:w="1831" w:type="dxa"/>
          </w:tcPr>
          <w:p w:rsidR="00F06D11" w:rsidRDefault="0038137D">
            <w:pPr>
              <w:keepNext/>
              <w:ind w:firstLine="0"/>
              <w:jc w:val="center"/>
            </w:pPr>
            <w:r>
              <w:rPr>
                <w:u w:val="single"/>
                <w:lang w:bidi="ru-RU"/>
              </w:rPr>
              <w:t>      (подпись)</w:t>
            </w:r>
          </w:p>
        </w:tc>
        <w:tc>
          <w:tcPr>
            <w:tcW w:w="2745" w:type="dxa"/>
          </w:tcPr>
          <w:p w:rsidR="00F06D11" w:rsidRDefault="0038137D">
            <w:pPr>
              <w:keepNext/>
              <w:ind w:firstLine="0"/>
              <w:jc w:val="center"/>
            </w:pPr>
            <w:r>
              <w:rPr>
                <w:lang w:bidi="ru-RU"/>
              </w:rPr>
              <w:t>(</w:t>
            </w:r>
            <w:r>
              <w:rPr>
                <w:u w:val="single"/>
                <w:lang w:bidi="ru-RU"/>
              </w:rPr>
              <w:t>        (расшифровка)        </w:t>
            </w:r>
            <w:r>
              <w:rPr>
                <w:lang w:bidi="ru-RU"/>
              </w:rPr>
              <w:t>)</w:t>
            </w:r>
          </w:p>
        </w:tc>
      </w:tr>
    </w:tbl>
    <w:p w:rsidR="00F06D11" w:rsidRDefault="0038137D">
      <w:pPr>
        <w:sectPr w:rsidR="00F06D11">
          <w:headerReference w:type="even" r:id="rId237"/>
          <w:headerReference w:type="default" r:id="rId238"/>
          <w:footerReference w:type="even" r:id="rId239"/>
          <w:footerReference w:type="default" r:id="rId240"/>
          <w:headerReference w:type="first" r:id="rId241"/>
          <w:footerReference w:type="first" r:id="rId242"/>
          <w:pgSz w:w="11906" w:h="16838"/>
          <w:pgMar w:top="766" w:right="850" w:bottom="766" w:left="1701" w:header="709" w:footer="709" w:gutter="0"/>
          <w:pgNumType w:start="46"/>
          <w:cols w:space="720"/>
          <w:formProt w:val="0"/>
          <w:titlePg/>
          <w:docGrid w:linePitch="360"/>
        </w:sectPr>
      </w:pPr>
      <w:r>
        <w:t>"</w:t>
      </w:r>
      <w:r>
        <w:rPr>
          <w:u w:val="single"/>
        </w:rPr>
        <w:t>       </w:t>
      </w:r>
      <w:r>
        <w:t xml:space="preserve">" </w:t>
      </w:r>
      <w:r>
        <w:rPr>
          <w:u w:val="single"/>
        </w:rPr>
        <w:t>                         </w:t>
      </w:r>
      <w:r>
        <w:t xml:space="preserve"> 20</w:t>
      </w:r>
      <w:r>
        <w:rPr>
          <w:u w:val="single"/>
        </w:rPr>
        <w:t>       </w:t>
      </w:r>
      <w:r>
        <w:t xml:space="preserve"> г.</w:t>
      </w:r>
    </w:p>
    <w:p w:rsidR="00F06D11" w:rsidRDefault="0038137D">
      <w:pPr>
        <w:keepNext/>
        <w:keepLines/>
        <w:spacing w:before="6" w:after="6"/>
        <w:ind w:left="10205" w:firstLine="0"/>
        <w:jc w:val="left"/>
      </w:pPr>
      <w:r>
        <w:t>Приложение № 12</w:t>
      </w:r>
    </w:p>
    <w:p w:rsidR="00F06D11" w:rsidRDefault="0038137D">
      <w:pPr>
        <w:spacing w:before="6" w:after="6"/>
        <w:ind w:left="10205" w:firstLine="0"/>
        <w:jc w:val="left"/>
      </w:pPr>
      <w:r>
        <w:t>к Учетной политике</w:t>
      </w:r>
      <w:r>
        <w:br w:type="textWrapping" w:clear="all"/>
        <w:t xml:space="preserve">Исполнительного комитета </w:t>
      </w:r>
    </w:p>
    <w:p w:rsidR="00F06D11" w:rsidRDefault="0038137D">
      <w:pPr>
        <w:keepNext/>
        <w:keepLines/>
        <w:spacing w:before="6" w:after="6"/>
        <w:ind w:left="10205" w:firstLine="0"/>
        <w:jc w:val="left"/>
      </w:pPr>
      <w:r>
        <w:t>муниципального образования</w:t>
      </w:r>
    </w:p>
    <w:p w:rsidR="00F06D11" w:rsidRDefault="0038137D">
      <w:pPr>
        <w:spacing w:before="6" w:after="6"/>
        <w:ind w:left="10205" w:firstLine="0"/>
        <w:jc w:val="left"/>
      </w:pPr>
      <w:r>
        <w:t>город Набережные Челны</w:t>
      </w:r>
    </w:p>
    <w:p w:rsidR="00620920" w:rsidRDefault="00620920">
      <w:pPr>
        <w:spacing w:before="6" w:after="6"/>
        <w:ind w:left="10205" w:firstLine="0"/>
        <w:jc w:val="left"/>
      </w:pPr>
      <w:r w:rsidRPr="00620920">
        <w:rPr>
          <w:rFonts w:eastAsia="Calibri"/>
        </w:rPr>
        <w:t>от «30»_12_2025 №3142-р</w:t>
      </w:r>
    </w:p>
    <w:p w:rsidR="00F06D11" w:rsidRDefault="00F06D11">
      <w:pPr>
        <w:spacing w:before="6" w:after="6"/>
        <w:ind w:left="10205" w:firstLine="0"/>
        <w:jc w:val="left"/>
      </w:pPr>
    </w:p>
    <w:p w:rsidR="00F06D11" w:rsidRDefault="00F06D11">
      <w:pPr>
        <w:spacing w:before="6" w:after="6" w:line="283" w:lineRule="exact"/>
        <w:ind w:left="10205" w:firstLine="0"/>
        <w:contextualSpacing/>
        <w:jc w:val="left"/>
      </w:pPr>
    </w:p>
    <w:p w:rsidR="00F06D11" w:rsidRDefault="0038137D">
      <w:pPr>
        <w:keepNext/>
        <w:keepLines/>
        <w:spacing w:before="0" w:after="0" w:line="283" w:lineRule="exact"/>
        <w:ind w:firstLine="0"/>
        <w:contextualSpacing/>
        <w:jc w:val="center"/>
        <w:outlineLvl w:val="0"/>
        <w:rPr>
          <w:spacing w:val="5"/>
        </w:rPr>
      </w:pPr>
      <w:r>
        <w:rPr>
          <w:spacing w:val="5"/>
        </w:rPr>
        <w:t>Порядок оформления документов о вручении ценных подарков (сувенирной продукции) и их учета</w:t>
      </w:r>
    </w:p>
    <w:p w:rsidR="00F06D11" w:rsidRDefault="00F06D11">
      <w:pPr>
        <w:keepNext/>
        <w:keepLines/>
        <w:spacing w:before="0" w:after="0" w:line="283" w:lineRule="exact"/>
        <w:ind w:firstLine="0"/>
        <w:contextualSpacing/>
        <w:jc w:val="center"/>
        <w:outlineLvl w:val="0"/>
      </w:pPr>
    </w:p>
    <w:p w:rsidR="00F06D11" w:rsidRDefault="0038137D">
      <w:pPr>
        <w:spacing w:before="0" w:line="283" w:lineRule="exact"/>
        <w:ind w:firstLine="709"/>
        <w:contextualSpacing/>
      </w:pPr>
      <w:r>
        <w:t>1. Настоящий Порядок устанавливает правила оформления документов о вручении ценных подарков (сувенирной продукции), иных материальных ценностей, приобретаемых для дарения.</w:t>
      </w:r>
    </w:p>
    <w:p w:rsidR="00F06D11" w:rsidRDefault="0038137D">
      <w:pPr>
        <w:spacing w:line="283" w:lineRule="exact"/>
        <w:ind w:firstLine="709"/>
        <w:contextualSpacing/>
      </w:pPr>
      <w:r>
        <w:t>2. Ценные подарки (сувенирная продукция), иные материальные ценности вручаются при проведении торжественных и протокольных мероприятий и в иных случаях.</w:t>
      </w:r>
    </w:p>
    <w:p w:rsidR="00F06D11" w:rsidRDefault="0038137D">
      <w:pPr>
        <w:spacing w:line="283" w:lineRule="exact"/>
        <w:ind w:firstLine="709"/>
        <w:contextualSpacing/>
      </w:pPr>
      <w:r>
        <w:t>3. Основанием для вручения ценного подарка (сувенирной продукции), иных материальных ценностей является постановление Исполнительного комитета.</w:t>
      </w:r>
    </w:p>
    <w:p w:rsidR="00F06D11" w:rsidRDefault="0038137D">
      <w:pPr>
        <w:spacing w:line="283" w:lineRule="exact"/>
        <w:ind w:firstLine="709"/>
        <w:contextualSpacing/>
      </w:pPr>
      <w:r>
        <w:t>4. Факт передачи (вручения) ценных подарков (сувенирной продукции) подтверждается актом, составленным по форме согласно приложению к настоящему Порядку.</w:t>
      </w:r>
    </w:p>
    <w:p w:rsidR="00F06D11" w:rsidRDefault="0038137D">
      <w:pPr>
        <w:spacing w:line="283" w:lineRule="exact"/>
        <w:ind w:firstLine="709"/>
        <w:contextualSpacing/>
      </w:pPr>
      <w:r>
        <w:t>5. Составление акта о вручении обеспечивает лицо, ответственное за вручение подарков (сувенирной продукции), или лицо, ответственное за организацию протокольного (торжественного) мероприятия.</w:t>
      </w:r>
    </w:p>
    <w:p w:rsidR="00F06D11" w:rsidRDefault="0038137D">
      <w:pPr>
        <w:spacing w:line="283" w:lineRule="exact"/>
        <w:ind w:firstLine="709"/>
        <w:contextualSpacing/>
      </w:pPr>
      <w:r>
        <w:t>6. Акт о вручении подписывают члены постоянно действующей комиссии по поступлению и выбытию активов.</w:t>
      </w:r>
    </w:p>
    <w:p w:rsidR="00F06D11" w:rsidRDefault="0038137D">
      <w:pPr>
        <w:spacing w:line="283" w:lineRule="exact"/>
        <w:ind w:firstLine="709"/>
        <w:contextualSpacing/>
      </w:pPr>
      <w:r>
        <w:t>7. Если при вручении подарков отсутствует возможность подписания акта лицами, не являющимися работниками Исполнительного комитета, допускается оформить акт о вручении без их подписей.</w:t>
      </w:r>
    </w:p>
    <w:p w:rsidR="00F06D11" w:rsidRDefault="0038137D">
      <w:pPr>
        <w:spacing w:line="283" w:lineRule="exact"/>
        <w:ind w:firstLine="709"/>
        <w:contextualSpacing/>
      </w:pPr>
      <w:r>
        <w:t>8. Акт о вручении представляется в структурное подразделение Исполнительного комитета, ответственное за ведение учета, не позднее первого рабочего дня, следующего за днем вручения ценных подарков (сувенирной продукции).</w:t>
      </w:r>
    </w:p>
    <w:p w:rsidR="00F06D11" w:rsidRDefault="0038137D">
      <w:pPr>
        <w:spacing w:line="283" w:lineRule="exact"/>
        <w:ind w:firstLine="709"/>
        <w:contextualSpacing/>
      </w:pPr>
      <w:r>
        <w:t>9. Если ценные подарки (сувенирная продукция), иные материальные ценности, предназначенные для награждения (вручения), не поступают на хранение, а сразу вручаются, то применяется следующий порядок учета:</w:t>
      </w:r>
    </w:p>
    <w:p w:rsidR="00F06D11" w:rsidRDefault="0038137D">
      <w:pPr>
        <w:spacing w:line="283" w:lineRule="exact"/>
        <w:ind w:firstLine="709"/>
        <w:contextualSpacing/>
      </w:pPr>
      <w:r>
        <w:t>1) при предоставлении ответственными лицами документов, подтверждающих приобретение и вручение, в учете одновременно отражается поступление и выбытие материальных ценностей на балансовых счетах;</w:t>
      </w:r>
    </w:p>
    <w:p w:rsidR="00F06D11" w:rsidRDefault="0038137D">
      <w:pPr>
        <w:spacing w:before="0" w:after="0" w:line="283" w:lineRule="exact"/>
        <w:ind w:firstLine="709"/>
      </w:pPr>
      <w:r>
        <w:t xml:space="preserve">2) на забалансовом </w:t>
      </w:r>
      <w:hyperlink r:id="rId243" w:tgtFrame="https://cloud.consultant.ru/cloud/cgi/online.cgi?req=doc&amp;amp;base=LAW&amp;amp;n=486219&amp;amp;fld=134&amp;amp;dst=104108&amp;amp;date=10.09.2025&amp;amp;last=1">
        <w:r>
          <w:rPr>
            <w:rStyle w:val="af0"/>
            <w:color w:val="auto"/>
            <w:u w:val="none"/>
          </w:rPr>
          <w:t>счете 07</w:t>
        </w:r>
      </w:hyperlink>
      <w:r>
        <w:t xml:space="preserve"> "Награды, призы, кубки и ценные подарки, сувениры" информация не отражается.</w:t>
      </w:r>
    </w:p>
    <w:p w:rsidR="00F06D11" w:rsidRDefault="0038137D">
      <w:pPr>
        <w:spacing w:before="0" w:after="0"/>
        <w:ind w:firstLine="709"/>
      </w:pPr>
      <w:r>
        <w:t>10. Если ценные подарки (сувенирная продукция), иные материальные ценности для проведения торжественных и протокольных мероприятий выдаются из мест хранения (находятся у лиц, ответственных за вручение, с момента приобретения), то применяется следующий порядок учета:</w:t>
      </w:r>
    </w:p>
    <w:p w:rsidR="00F06D11" w:rsidRDefault="0038137D">
      <w:pPr>
        <w:spacing w:before="0" w:after="0"/>
        <w:ind w:firstLine="709"/>
      </w:pPr>
      <w:r>
        <w:t>1) поступление материальных ценностей в места хранения (в распоряжение лиц, ответственных за вручение) отражается в учете на балансовых счетах в общем порядке;</w:t>
      </w:r>
    </w:p>
    <w:p w:rsidR="00F06D11" w:rsidRDefault="0038137D">
      <w:pPr>
        <w:spacing w:before="0" w:after="0"/>
        <w:ind w:firstLine="709"/>
      </w:pPr>
      <w:r>
        <w:t xml:space="preserve">2) при выдаче материальных ценностей ответственному лицу для вручения (при приобретении таких ценностей ответственным лицом без передачи на склад) информация об их выдаче ответственному лицу (приобретении ответственным лицом) отражается на забалансовом </w:t>
      </w:r>
      <w:hyperlink r:id="rId244" w:tgtFrame="https://cloud.consultant.ru/cloud/cgi/online.cgi?req=doc&amp;amp;base=LAW&amp;amp;n=486219&amp;amp;fld=134&amp;amp;dst=104108&amp;amp;date=10.09.2025&amp;amp;last=1">
        <w:r>
          <w:rPr>
            <w:rStyle w:val="af0"/>
            <w:color w:val="auto"/>
            <w:u w:val="none"/>
          </w:rPr>
          <w:t>счете 07</w:t>
        </w:r>
      </w:hyperlink>
      <w:r>
        <w:t xml:space="preserve"> "Награды, призы, кубки и ценные подарки, сувениры";</w:t>
      </w:r>
    </w:p>
    <w:p w:rsidR="00F06D11" w:rsidRDefault="0038137D">
      <w:pPr>
        <w:spacing w:before="0" w:after="0"/>
        <w:ind w:firstLine="709"/>
      </w:pPr>
      <w:r>
        <w:t xml:space="preserve">3) по факту документального подтверждения вручения подарков (сувенирной продукции) их стоимость списывается на расходы текущего финансового периода с одновременным списанием и с забалансового </w:t>
      </w:r>
      <w:hyperlink r:id="rId245" w:tgtFrame="https://cloud.consultant.ru/cloud/cgi/online.cgi?req=doc&amp;amp;base=LAW&amp;amp;n=486219&amp;amp;fld=134&amp;amp;dst=104108&amp;amp;date=10.09.2025&amp;amp;last=1">
        <w:r>
          <w:rPr>
            <w:rStyle w:val="af0"/>
            <w:color w:val="auto"/>
            <w:u w:val="none"/>
          </w:rPr>
          <w:t>счета 07</w:t>
        </w:r>
      </w:hyperlink>
      <w:r>
        <w:t xml:space="preserve"> "Награды, призы, кубки и ценные подарки, сувениры".</w:t>
      </w:r>
      <w:r>
        <w:br w:type="page"/>
      </w:r>
    </w:p>
    <w:p w:rsidR="00F06D11" w:rsidRDefault="0038137D">
      <w:pPr>
        <w:keepNext/>
        <w:keepLines/>
        <w:spacing w:before="0" w:after="6"/>
        <w:ind w:left="9751" w:firstLine="0"/>
        <w:jc w:val="left"/>
      </w:pPr>
      <w:r>
        <w:t>Приложение</w:t>
      </w:r>
      <w:r>
        <w:br w:type="textWrapping" w:clear="all"/>
        <w:t>к Порядку оформления</w:t>
      </w:r>
    </w:p>
    <w:p w:rsidR="00F06D11" w:rsidRDefault="0038137D">
      <w:pPr>
        <w:spacing w:before="6" w:after="6"/>
        <w:ind w:left="9751" w:firstLine="0"/>
        <w:jc w:val="left"/>
      </w:pPr>
      <w:r>
        <w:t>документов о вручении</w:t>
      </w:r>
      <w:r>
        <w:br w:type="textWrapping" w:clear="all"/>
        <w:t>ценных подарков (сувенирной</w:t>
      </w:r>
    </w:p>
    <w:p w:rsidR="00F06D11" w:rsidRDefault="0038137D">
      <w:pPr>
        <w:spacing w:before="6" w:after="6"/>
        <w:ind w:left="9751" w:firstLine="0"/>
        <w:jc w:val="left"/>
        <w:rPr>
          <w:b/>
        </w:rPr>
      </w:pPr>
      <w:r>
        <w:t xml:space="preserve"> продукции)  и их учета</w:t>
      </w:r>
      <w:r>
        <w:br w:type="textWrapping" w:clear="all"/>
        <w:t> </w:t>
      </w:r>
      <w:r>
        <w:br w:type="textWrapping" w:clear="all"/>
        <w:t>УТВЕРЖДАЮ</w:t>
      </w:r>
      <w:r>
        <w:br w:type="textWrapping" w:clear="all"/>
      </w:r>
      <w:r>
        <w:rPr>
          <w:u w:val="single"/>
        </w:rPr>
        <w:t>                                                                                    </w:t>
      </w:r>
      <w:r>
        <w:br w:type="textWrapping" w:clear="all"/>
      </w:r>
      <w:r>
        <w:rPr>
          <w:u w:val="single"/>
        </w:rPr>
        <w:t>    (должность, фамилия, инициалы руководителя)    </w:t>
      </w:r>
    </w:p>
    <w:p w:rsidR="00F06D11" w:rsidRDefault="0038137D">
      <w:pPr>
        <w:jc w:val="center"/>
      </w:pPr>
      <w:r>
        <w:rPr>
          <w:b/>
        </w:rPr>
        <w:t>А</w:t>
      </w:r>
      <w:r>
        <w:t xml:space="preserve">КТ </w:t>
      </w:r>
    </w:p>
    <w:p w:rsidR="00F06D11" w:rsidRDefault="0038137D">
      <w:pPr>
        <w:jc w:val="center"/>
        <w:rPr>
          <w:lang w:bidi="ru-RU"/>
        </w:rPr>
      </w:pPr>
      <w:r>
        <w:t>о вручении ценных подарков, сувениров, призов</w:t>
      </w:r>
    </w:p>
    <w:tbl>
      <w:tblPr>
        <w:tblW w:w="5000" w:type="pct"/>
        <w:tblInd w:w="-109" w:type="dxa"/>
        <w:tblLayout w:type="fixed"/>
        <w:tblLook w:val="04A0" w:firstRow="1" w:lastRow="0" w:firstColumn="1" w:lastColumn="0" w:noHBand="0" w:noVBand="1"/>
      </w:tblPr>
      <w:tblGrid>
        <w:gridCol w:w="12472"/>
        <w:gridCol w:w="2031"/>
      </w:tblGrid>
      <w:tr w:rsidR="00F06D11">
        <w:tc>
          <w:tcPr>
            <w:tcW w:w="12285" w:type="dxa"/>
          </w:tcPr>
          <w:p w:rsidR="00F06D11" w:rsidRDefault="0038137D">
            <w:pPr>
              <w:keepNext/>
              <w:ind w:firstLine="0"/>
              <w:jc w:val="left"/>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c>
          <w:tcPr>
            <w:tcW w:w="2001" w:type="dxa"/>
          </w:tcPr>
          <w:p w:rsidR="00F06D11" w:rsidRDefault="0038137D">
            <w:pPr>
              <w:keepNext/>
              <w:ind w:firstLine="0"/>
              <w:jc w:val="left"/>
              <w:rPr>
                <w:u w:val="single"/>
                <w:lang w:bidi="ru-RU"/>
              </w:rPr>
            </w:pPr>
            <w:r>
              <w:rPr>
                <w:lang w:bidi="ru-RU"/>
              </w:rPr>
              <w:t>№</w:t>
            </w:r>
          </w:p>
        </w:tc>
      </w:tr>
    </w:tbl>
    <w:p w:rsidR="00F06D11" w:rsidRDefault="0038137D">
      <w:r>
        <w:t>Комиссия в составе:</w:t>
      </w:r>
    </w:p>
    <w:p w:rsidR="00F06D11" w:rsidRDefault="0038137D">
      <w:r>
        <w:t xml:space="preserve">Председатель </w:t>
      </w:r>
      <w:r>
        <w:rPr>
          <w:u w:val="single"/>
        </w:rPr>
        <w:t>                  (должность, фамилия, инициалы)                  </w:t>
      </w:r>
    </w:p>
    <w:p w:rsidR="00F06D11" w:rsidRDefault="0038137D">
      <w:pPr>
        <w:rPr>
          <w:u w:val="single"/>
        </w:rPr>
      </w:pPr>
      <w:r>
        <w:t>Члены комиссии:</w:t>
      </w:r>
    </w:p>
    <w:p w:rsidR="00F06D11" w:rsidRDefault="0038137D">
      <w:pPr>
        <w:rPr>
          <w:u w:val="single"/>
        </w:rPr>
      </w:pPr>
      <w:r>
        <w:rPr>
          <w:u w:val="single"/>
        </w:rPr>
        <w:t>                  (должность, фамилия, инициалы)                  </w:t>
      </w:r>
    </w:p>
    <w:p w:rsidR="00F06D11" w:rsidRDefault="0038137D">
      <w:pPr>
        <w:rPr>
          <w:u w:val="single"/>
        </w:rPr>
      </w:pPr>
      <w:r>
        <w:rPr>
          <w:u w:val="single"/>
        </w:rPr>
        <w:t>                  (должность, фамилия, инициалы)                  </w:t>
      </w:r>
    </w:p>
    <w:p w:rsidR="00F06D11" w:rsidRDefault="0038137D">
      <w:r>
        <w:rPr>
          <w:u w:val="single"/>
        </w:rPr>
        <w:t>                  (должность, фамилия, инициалы)                  </w:t>
      </w:r>
      <w:r>
        <w:t>,</w:t>
      </w:r>
    </w:p>
    <w:p w:rsidR="00F06D11" w:rsidRDefault="0038137D">
      <w:r>
        <w:t xml:space="preserve">назначенная </w:t>
      </w:r>
      <w:r>
        <w:rPr>
          <w:u w:val="single"/>
        </w:rPr>
        <w:t xml:space="preserve">     постановление Исполнительного комитета   </w:t>
      </w:r>
    </w:p>
    <w:p w:rsidR="00F06D11" w:rsidRDefault="0038137D">
      <w:r>
        <w:t>от "</w:t>
      </w:r>
      <w:r>
        <w:rPr>
          <w:u w:val="single"/>
        </w:rPr>
        <w:t>             </w:t>
      </w:r>
      <w:r>
        <w:t>"</w:t>
      </w:r>
      <w:r>
        <w:rPr>
          <w:u w:val="single"/>
        </w:rPr>
        <w:t>                                           </w:t>
      </w:r>
      <w:r>
        <w:t>20</w:t>
      </w:r>
      <w:r>
        <w:rPr>
          <w:u w:val="single"/>
        </w:rPr>
        <w:t>           </w:t>
      </w:r>
      <w:r>
        <w:t xml:space="preserve">г. № </w:t>
      </w:r>
      <w:r>
        <w:rPr>
          <w:u w:val="single"/>
        </w:rPr>
        <w:t>               </w:t>
      </w:r>
      <w:r>
        <w:t>,</w:t>
      </w:r>
    </w:p>
    <w:p w:rsidR="00F06D11" w:rsidRDefault="0038137D">
      <w:pPr>
        <w:rPr>
          <w:u w:val="single"/>
        </w:rPr>
      </w:pPr>
      <w:r>
        <w:t xml:space="preserve">составила настоящий акт о том, что на основании </w:t>
      </w:r>
      <w:r>
        <w:rPr>
          <w:u w:val="single"/>
        </w:rPr>
        <w:t>                                                                                                                                       </w:t>
      </w:r>
    </w:p>
    <w:p w:rsidR="00F06D11" w:rsidRDefault="0038137D">
      <w:r>
        <w:rPr>
          <w:u w:val="single"/>
        </w:rPr>
        <w:t>    (наименование, номер и дата постановления Исполнительного комитета о вручении ценного подарка (сувенирной продукции))    </w:t>
      </w:r>
    </w:p>
    <w:p w:rsidR="00F06D11" w:rsidRDefault="0038137D">
      <w:pPr>
        <w:rPr>
          <w:lang w:bidi="ru-RU"/>
        </w:rPr>
      </w:pPr>
      <w:r>
        <w:t>вручен(ы) ценный(е) подарок(и) (сувенирная продукция):</w:t>
      </w:r>
    </w:p>
    <w:tbl>
      <w:tblPr>
        <w:tblW w:w="5000" w:type="pct"/>
        <w:tblInd w:w="-109" w:type="dxa"/>
        <w:tblLayout w:type="fixed"/>
        <w:tblLook w:val="04A0" w:firstRow="1" w:lastRow="0" w:firstColumn="1" w:lastColumn="0" w:noHBand="0" w:noVBand="1"/>
      </w:tblPr>
      <w:tblGrid>
        <w:gridCol w:w="2602"/>
        <w:gridCol w:w="2460"/>
        <w:gridCol w:w="2748"/>
        <w:gridCol w:w="2168"/>
        <w:gridCol w:w="1444"/>
        <w:gridCol w:w="1443"/>
        <w:gridCol w:w="1638"/>
      </w:tblGrid>
      <w:tr w:rsidR="00F06D11">
        <w:tc>
          <w:tcPr>
            <w:tcW w:w="2564"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Ф.И.О. награждаемого</w:t>
            </w:r>
          </w:p>
        </w:tc>
        <w:tc>
          <w:tcPr>
            <w:tcW w:w="2423"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rPr>
                <w:lang w:bidi="ru-RU"/>
              </w:rPr>
            </w:pPr>
            <w:r>
              <w:rPr>
                <w:lang w:bidi="ru-RU"/>
              </w:rPr>
              <w:t xml:space="preserve">Должность </w:t>
            </w:r>
            <w:hyperlink w:anchor="ln_d_2_29_0_0_0_txt1_1" w:tgtFrame="#ln_d_2_29_0_0_0_txt1_1">
              <w:r>
                <w:rPr>
                  <w:rStyle w:val="af0"/>
                  <w:lang w:bidi="ru-RU"/>
                </w:rPr>
                <w:t>&lt;1&gt;</w:t>
              </w:r>
            </w:hyperlink>
          </w:p>
        </w:tc>
        <w:tc>
          <w:tcPr>
            <w:tcW w:w="2707"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Наименование ценного подарка</w:t>
            </w:r>
          </w:p>
        </w:tc>
        <w:tc>
          <w:tcPr>
            <w:tcW w:w="2136"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Количество</w:t>
            </w:r>
          </w:p>
        </w:tc>
        <w:tc>
          <w:tcPr>
            <w:tcW w:w="1422"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Цена, руб.</w:t>
            </w:r>
          </w:p>
        </w:tc>
        <w:tc>
          <w:tcPr>
            <w:tcW w:w="1421"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Сумма, руб.</w:t>
            </w:r>
          </w:p>
        </w:tc>
        <w:tc>
          <w:tcPr>
            <w:tcW w:w="1613"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 xml:space="preserve">Подпись награжденного </w:t>
            </w:r>
            <w:hyperlink w:anchor="ln_d_2_29_0_0_0_txt1_2" w:tgtFrame="#ln_d_2_29_0_0_0_txt1_2">
              <w:r>
                <w:rPr>
                  <w:rStyle w:val="af0"/>
                  <w:lang w:bidi="ru-RU"/>
                </w:rPr>
                <w:t>&lt;2&gt;</w:t>
              </w:r>
            </w:hyperlink>
          </w:p>
        </w:tc>
      </w:tr>
      <w:tr w:rsidR="00F06D11">
        <w:tc>
          <w:tcPr>
            <w:tcW w:w="2564"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423"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707"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136"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422"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421"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613"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r>
      <w:tr w:rsidR="00F06D11">
        <w:tc>
          <w:tcPr>
            <w:tcW w:w="2564"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423"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707"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136"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422"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421"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613"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r>
      <w:tr w:rsidR="00F06D11">
        <w:tc>
          <w:tcPr>
            <w:tcW w:w="2564"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423"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707"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136"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422"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421"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613"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r>
      <w:tr w:rsidR="00F06D11">
        <w:tc>
          <w:tcPr>
            <w:tcW w:w="2564"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423"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707"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136"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422"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421"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613"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r>
      <w:tr w:rsidR="00F06D11">
        <w:tc>
          <w:tcPr>
            <w:tcW w:w="2564"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423"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707"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136"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422"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421"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613"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r>
      <w:tr w:rsidR="00F06D11">
        <w:tc>
          <w:tcPr>
            <w:tcW w:w="2564"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423"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707"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136"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422"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421"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613"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r>
      <w:tr w:rsidR="00F06D11">
        <w:tc>
          <w:tcPr>
            <w:tcW w:w="2564"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423"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707"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136"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422"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421"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613"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r>
      <w:tr w:rsidR="00F06D11">
        <w:tc>
          <w:tcPr>
            <w:tcW w:w="2564"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423"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707"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2136"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422"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421"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613"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r>
      <w:tr w:rsidR="00F06D11">
        <w:tc>
          <w:tcPr>
            <w:tcW w:w="2564"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pPr>
            <w:r>
              <w:rPr>
                <w:lang w:bidi="ru-RU"/>
              </w:rPr>
              <w:t>Итого</w:t>
            </w:r>
          </w:p>
        </w:tc>
        <w:tc>
          <w:tcPr>
            <w:tcW w:w="2423"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x</w:t>
            </w:r>
          </w:p>
        </w:tc>
        <w:tc>
          <w:tcPr>
            <w:tcW w:w="2707"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х</w:t>
            </w:r>
          </w:p>
        </w:tc>
        <w:tc>
          <w:tcPr>
            <w:tcW w:w="2136"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center"/>
              <w:rPr>
                <w:lang w:bidi="ru-RU"/>
              </w:rPr>
            </w:pPr>
          </w:p>
        </w:tc>
        <w:tc>
          <w:tcPr>
            <w:tcW w:w="1422"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х</w:t>
            </w:r>
          </w:p>
        </w:tc>
        <w:tc>
          <w:tcPr>
            <w:tcW w:w="1421" w:type="dxa"/>
            <w:tcBorders>
              <w:top w:val="single" w:sz="6" w:space="0" w:color="000000"/>
              <w:left w:val="single" w:sz="6" w:space="0" w:color="000000"/>
              <w:bottom w:val="single" w:sz="6" w:space="0" w:color="000000"/>
              <w:right w:val="single" w:sz="6" w:space="0" w:color="000000"/>
            </w:tcBorders>
          </w:tcPr>
          <w:p w:rsidR="00F06D11" w:rsidRDefault="00F06D11">
            <w:pPr>
              <w:keepNext/>
              <w:ind w:firstLine="0"/>
              <w:jc w:val="left"/>
              <w:rPr>
                <w:lang w:bidi="ru-RU"/>
              </w:rPr>
            </w:pPr>
          </w:p>
        </w:tc>
        <w:tc>
          <w:tcPr>
            <w:tcW w:w="1613" w:type="dxa"/>
            <w:tcBorders>
              <w:top w:val="single" w:sz="6" w:space="0" w:color="000000"/>
              <w:left w:val="single" w:sz="6" w:space="0" w:color="000000"/>
              <w:bottom w:val="single" w:sz="6" w:space="0" w:color="000000"/>
              <w:right w:val="single" w:sz="6" w:space="0" w:color="000000"/>
            </w:tcBorders>
          </w:tcPr>
          <w:p w:rsidR="00F06D11" w:rsidRDefault="0038137D">
            <w:pPr>
              <w:keepNext/>
              <w:ind w:firstLine="0"/>
              <w:jc w:val="center"/>
            </w:pPr>
            <w:r>
              <w:rPr>
                <w:lang w:bidi="ru-RU"/>
              </w:rPr>
              <w:t>х</w:t>
            </w:r>
          </w:p>
        </w:tc>
      </w:tr>
    </w:tbl>
    <w:p w:rsidR="00F06D11" w:rsidRDefault="0038137D">
      <w:r>
        <w:rPr>
          <w:u w:val="single"/>
        </w:rPr>
        <w:t xml:space="preserve">                                                                              </w:t>
      </w:r>
    </w:p>
    <w:p w:rsidR="00F06D11" w:rsidRDefault="0038137D">
      <w:r>
        <w:t>&lt;1&gt; Для лиц, не являющихся работниками субъекта учета, указывается также место работы. Графа заполняется на основании распорядительных актов на проведение торжественных (протокольных) мероприятий.</w:t>
      </w:r>
    </w:p>
    <w:p w:rsidR="00F06D11" w:rsidRDefault="0038137D">
      <w:r>
        <w:t>&lt;2&gt; Для лиц, не являющихся работниками субъекта учета, может не заполняться (</w:t>
      </w:r>
      <w:hyperlink r:id="rId246" w:tgtFrame="https://cloud.consultant.ru/cloud/cgi/online.cgi?req=doc&amp;amp;base=LAW&amp;amp;n=323667&amp;amp;fld=134&amp;amp;dst=100020&amp;amp;date=16.05.2019&amp;amp;last=1">
        <w:r>
          <w:rPr>
            <w:rStyle w:val="af0"/>
          </w:rPr>
          <w:t>Письмо</w:t>
        </w:r>
      </w:hyperlink>
      <w:r>
        <w:t xml:space="preserve"> Минфина России от 26.04.2019 № 02-07-07/31230).</w:t>
      </w:r>
    </w:p>
    <w:p w:rsidR="00F06D11" w:rsidRDefault="0038137D">
      <w:pPr>
        <w:rPr>
          <w:u w:val="single"/>
        </w:rPr>
      </w:pPr>
      <w:r>
        <w:t>Всего по настоящему акту вручено подарков (сувенирной продукции) на общую сумму</w:t>
      </w:r>
    </w:p>
    <w:p w:rsidR="00F06D11" w:rsidRDefault="0038137D">
      <w:r>
        <w:rPr>
          <w:u w:val="single"/>
        </w:rPr>
        <w:t>                                                  (сумма прописью)                                                    </w:t>
      </w:r>
      <w:r>
        <w:t xml:space="preserve"> руб.</w:t>
      </w:r>
    </w:p>
    <w:p w:rsidR="00F06D11" w:rsidRDefault="0038137D">
      <w:r>
        <w:t>Подписи:</w:t>
      </w:r>
    </w:p>
    <w:p w:rsidR="00F06D11" w:rsidRDefault="0038137D">
      <w:pPr>
        <w:rPr>
          <w:u w:val="single"/>
          <w:lang w:bidi="ru-RU"/>
        </w:rPr>
      </w:pPr>
      <w:r>
        <w:t>Ответственный за вручение подарков / за проведение мероприятия:</w:t>
      </w:r>
    </w:p>
    <w:tbl>
      <w:tblPr>
        <w:tblW w:w="5000" w:type="pct"/>
        <w:tblInd w:w="-109" w:type="dxa"/>
        <w:tblLayout w:type="fixed"/>
        <w:tblLook w:val="04A0" w:firstRow="1" w:lastRow="0" w:firstColumn="1" w:lastColumn="0" w:noHBand="0" w:noVBand="1"/>
      </w:tblPr>
      <w:tblGrid>
        <w:gridCol w:w="4832"/>
        <w:gridCol w:w="4836"/>
        <w:gridCol w:w="4835"/>
      </w:tblGrid>
      <w:tr w:rsidR="00F06D11">
        <w:tc>
          <w:tcPr>
            <w:tcW w:w="4760" w:type="dxa"/>
          </w:tcPr>
          <w:p w:rsidR="00F06D11" w:rsidRDefault="0038137D">
            <w:pPr>
              <w:keepNext/>
              <w:ind w:firstLine="0"/>
              <w:jc w:val="left"/>
            </w:pPr>
            <w:r>
              <w:rPr>
                <w:u w:val="single"/>
                <w:lang w:bidi="ru-RU"/>
              </w:rPr>
              <w:t>(должность)</w:t>
            </w:r>
          </w:p>
        </w:tc>
        <w:tc>
          <w:tcPr>
            <w:tcW w:w="4764" w:type="dxa"/>
          </w:tcPr>
          <w:p w:rsidR="00F06D11" w:rsidRDefault="0038137D">
            <w:pPr>
              <w:keepNext/>
              <w:ind w:firstLine="0"/>
              <w:jc w:val="center"/>
            </w:pPr>
            <w:r>
              <w:rPr>
                <w:u w:val="single"/>
                <w:lang w:bidi="ru-RU"/>
              </w:rPr>
              <w:t> (подпись)</w:t>
            </w:r>
          </w:p>
        </w:tc>
        <w:tc>
          <w:tcPr>
            <w:tcW w:w="4763" w:type="dxa"/>
          </w:tcPr>
          <w:p w:rsidR="00F06D11" w:rsidRDefault="0038137D">
            <w:pPr>
              <w:keepNext/>
              <w:ind w:firstLine="0"/>
              <w:jc w:val="right"/>
            </w:pPr>
            <w:r>
              <w:rPr>
                <w:u w:val="single"/>
                <w:lang w:bidi="ru-RU"/>
              </w:rPr>
              <w:t> (расшифровка подписи)</w:t>
            </w:r>
          </w:p>
        </w:tc>
      </w:tr>
    </w:tbl>
    <w:p w:rsidR="00F06D11" w:rsidRDefault="0038137D">
      <w:pPr>
        <w:rPr>
          <w:u w:val="single"/>
          <w:lang w:bidi="ru-RU"/>
        </w:rPr>
      </w:pPr>
      <w:r>
        <w:t>Председатель Комиссии:</w:t>
      </w:r>
    </w:p>
    <w:tbl>
      <w:tblPr>
        <w:tblW w:w="5000" w:type="pct"/>
        <w:tblInd w:w="-109" w:type="dxa"/>
        <w:tblLayout w:type="fixed"/>
        <w:tblLook w:val="04A0" w:firstRow="1" w:lastRow="0" w:firstColumn="1" w:lastColumn="0" w:noHBand="0" w:noVBand="1"/>
      </w:tblPr>
      <w:tblGrid>
        <w:gridCol w:w="4832"/>
        <w:gridCol w:w="4836"/>
        <w:gridCol w:w="4835"/>
      </w:tblGrid>
      <w:tr w:rsidR="00F06D11">
        <w:tc>
          <w:tcPr>
            <w:tcW w:w="4760" w:type="dxa"/>
          </w:tcPr>
          <w:p w:rsidR="00F06D11" w:rsidRDefault="0038137D">
            <w:pPr>
              <w:keepNext/>
              <w:ind w:firstLine="0"/>
              <w:jc w:val="left"/>
            </w:pPr>
            <w:r>
              <w:rPr>
                <w:u w:val="single"/>
                <w:lang w:bidi="ru-RU"/>
              </w:rPr>
              <w:t> (должность)</w:t>
            </w:r>
          </w:p>
        </w:tc>
        <w:tc>
          <w:tcPr>
            <w:tcW w:w="4764" w:type="dxa"/>
          </w:tcPr>
          <w:p w:rsidR="00F06D11" w:rsidRDefault="0038137D">
            <w:pPr>
              <w:keepNext/>
              <w:ind w:firstLine="0"/>
              <w:jc w:val="center"/>
            </w:pPr>
            <w:r>
              <w:rPr>
                <w:u w:val="single"/>
                <w:lang w:bidi="ru-RU"/>
              </w:rPr>
              <w:t> (подпись)</w:t>
            </w:r>
          </w:p>
        </w:tc>
        <w:tc>
          <w:tcPr>
            <w:tcW w:w="4763" w:type="dxa"/>
          </w:tcPr>
          <w:p w:rsidR="00F06D11" w:rsidRDefault="0038137D">
            <w:pPr>
              <w:keepNext/>
              <w:ind w:firstLine="0"/>
              <w:jc w:val="right"/>
            </w:pPr>
            <w:r>
              <w:rPr>
                <w:u w:val="single"/>
                <w:lang w:bidi="ru-RU"/>
              </w:rPr>
              <w:t> (расшифровка подписи)</w:t>
            </w:r>
          </w:p>
        </w:tc>
      </w:tr>
    </w:tbl>
    <w:p w:rsidR="00F06D11" w:rsidRDefault="0038137D">
      <w:pPr>
        <w:rPr>
          <w:u w:val="single"/>
          <w:lang w:bidi="ru-RU"/>
        </w:rPr>
      </w:pPr>
      <w:r>
        <w:t>Члены комиссии:</w:t>
      </w:r>
    </w:p>
    <w:tbl>
      <w:tblPr>
        <w:tblW w:w="5000" w:type="pct"/>
        <w:tblInd w:w="-109" w:type="dxa"/>
        <w:tblLayout w:type="fixed"/>
        <w:tblLook w:val="04A0" w:firstRow="1" w:lastRow="0" w:firstColumn="1" w:lastColumn="0" w:noHBand="0" w:noVBand="1"/>
      </w:tblPr>
      <w:tblGrid>
        <w:gridCol w:w="4832"/>
        <w:gridCol w:w="4836"/>
        <w:gridCol w:w="4835"/>
      </w:tblGrid>
      <w:tr w:rsidR="00F06D11">
        <w:tc>
          <w:tcPr>
            <w:tcW w:w="4760" w:type="dxa"/>
          </w:tcPr>
          <w:p w:rsidR="00F06D11" w:rsidRDefault="0038137D">
            <w:pPr>
              <w:keepNext/>
              <w:ind w:firstLine="0"/>
              <w:jc w:val="left"/>
            </w:pPr>
            <w:r>
              <w:rPr>
                <w:u w:val="single"/>
                <w:lang w:bidi="ru-RU"/>
              </w:rPr>
              <w:t>(должность)</w:t>
            </w:r>
          </w:p>
        </w:tc>
        <w:tc>
          <w:tcPr>
            <w:tcW w:w="4764" w:type="dxa"/>
          </w:tcPr>
          <w:p w:rsidR="00F06D11" w:rsidRDefault="0038137D">
            <w:pPr>
              <w:keepNext/>
              <w:ind w:firstLine="0"/>
              <w:jc w:val="center"/>
            </w:pPr>
            <w:r>
              <w:rPr>
                <w:u w:val="single"/>
                <w:lang w:bidi="ru-RU"/>
              </w:rPr>
              <w:t> (подпись)</w:t>
            </w:r>
          </w:p>
        </w:tc>
        <w:tc>
          <w:tcPr>
            <w:tcW w:w="4763" w:type="dxa"/>
          </w:tcPr>
          <w:p w:rsidR="00F06D11" w:rsidRDefault="0038137D">
            <w:pPr>
              <w:keepNext/>
              <w:ind w:firstLine="0"/>
              <w:jc w:val="right"/>
            </w:pPr>
            <w:r>
              <w:rPr>
                <w:u w:val="single"/>
                <w:lang w:bidi="ru-RU"/>
              </w:rPr>
              <w:t> (расшифровка подписи)</w:t>
            </w:r>
          </w:p>
        </w:tc>
      </w:tr>
    </w:tbl>
    <w:p w:rsidR="00F06D11" w:rsidRDefault="00F06D11"/>
    <w:tbl>
      <w:tblPr>
        <w:tblW w:w="5000" w:type="pct"/>
        <w:tblInd w:w="-109" w:type="dxa"/>
        <w:tblLayout w:type="fixed"/>
        <w:tblLook w:val="04A0" w:firstRow="1" w:lastRow="0" w:firstColumn="1" w:lastColumn="0" w:noHBand="0" w:noVBand="1"/>
      </w:tblPr>
      <w:tblGrid>
        <w:gridCol w:w="4832"/>
        <w:gridCol w:w="4836"/>
        <w:gridCol w:w="4835"/>
      </w:tblGrid>
      <w:tr w:rsidR="00F06D11">
        <w:tc>
          <w:tcPr>
            <w:tcW w:w="4760" w:type="dxa"/>
          </w:tcPr>
          <w:p w:rsidR="00F06D11" w:rsidRDefault="0038137D">
            <w:pPr>
              <w:keepNext/>
              <w:ind w:firstLine="0"/>
              <w:jc w:val="left"/>
            </w:pPr>
            <w:r>
              <w:rPr>
                <w:u w:val="single"/>
                <w:lang w:bidi="ru-RU"/>
              </w:rPr>
              <w:t>(должность)</w:t>
            </w:r>
          </w:p>
        </w:tc>
        <w:tc>
          <w:tcPr>
            <w:tcW w:w="4764" w:type="dxa"/>
          </w:tcPr>
          <w:p w:rsidR="00F06D11" w:rsidRDefault="0038137D">
            <w:pPr>
              <w:keepNext/>
              <w:ind w:firstLine="0"/>
              <w:jc w:val="center"/>
            </w:pPr>
            <w:r>
              <w:rPr>
                <w:u w:val="single"/>
                <w:lang w:bidi="ru-RU"/>
              </w:rPr>
              <w:t> (подпись)</w:t>
            </w:r>
          </w:p>
        </w:tc>
        <w:tc>
          <w:tcPr>
            <w:tcW w:w="4763" w:type="dxa"/>
          </w:tcPr>
          <w:p w:rsidR="00F06D11" w:rsidRDefault="0038137D">
            <w:pPr>
              <w:keepNext/>
              <w:ind w:firstLine="0"/>
              <w:jc w:val="right"/>
            </w:pPr>
            <w:r>
              <w:rPr>
                <w:u w:val="single"/>
                <w:lang w:bidi="ru-RU"/>
              </w:rPr>
              <w:t> (расшифровка подписи)</w:t>
            </w:r>
          </w:p>
        </w:tc>
      </w:tr>
    </w:tbl>
    <w:p w:rsidR="00F06D11" w:rsidRDefault="00F06D11"/>
    <w:tbl>
      <w:tblPr>
        <w:tblW w:w="5000" w:type="pct"/>
        <w:tblInd w:w="-109" w:type="dxa"/>
        <w:tblLayout w:type="fixed"/>
        <w:tblLook w:val="04A0" w:firstRow="1" w:lastRow="0" w:firstColumn="1" w:lastColumn="0" w:noHBand="0" w:noVBand="1"/>
      </w:tblPr>
      <w:tblGrid>
        <w:gridCol w:w="4832"/>
        <w:gridCol w:w="4836"/>
        <w:gridCol w:w="4835"/>
      </w:tblGrid>
      <w:tr w:rsidR="00F06D11">
        <w:tc>
          <w:tcPr>
            <w:tcW w:w="4760" w:type="dxa"/>
          </w:tcPr>
          <w:p w:rsidR="00F06D11" w:rsidRDefault="0038137D">
            <w:pPr>
              <w:keepNext/>
              <w:ind w:firstLine="0"/>
              <w:jc w:val="left"/>
            </w:pPr>
            <w:r>
              <w:rPr>
                <w:u w:val="single"/>
                <w:lang w:bidi="ru-RU"/>
              </w:rPr>
              <w:t>(должность)</w:t>
            </w:r>
          </w:p>
        </w:tc>
        <w:tc>
          <w:tcPr>
            <w:tcW w:w="4764" w:type="dxa"/>
          </w:tcPr>
          <w:p w:rsidR="00F06D11" w:rsidRDefault="0038137D">
            <w:pPr>
              <w:keepNext/>
              <w:ind w:firstLine="0"/>
              <w:jc w:val="center"/>
            </w:pPr>
            <w:r>
              <w:rPr>
                <w:u w:val="single"/>
                <w:lang w:bidi="ru-RU"/>
              </w:rPr>
              <w:t> (подпись)</w:t>
            </w:r>
          </w:p>
        </w:tc>
        <w:tc>
          <w:tcPr>
            <w:tcW w:w="4763" w:type="dxa"/>
          </w:tcPr>
          <w:p w:rsidR="00F06D11" w:rsidRDefault="0038137D">
            <w:pPr>
              <w:keepNext/>
              <w:ind w:firstLine="0"/>
              <w:jc w:val="right"/>
            </w:pPr>
            <w:r>
              <w:rPr>
                <w:u w:val="single"/>
                <w:lang w:bidi="ru-RU"/>
              </w:rPr>
              <w:t> (расшифровка подписи)</w:t>
            </w:r>
          </w:p>
        </w:tc>
      </w:tr>
    </w:tbl>
    <w:p w:rsidR="00F06D11" w:rsidRDefault="0038137D">
      <w:r>
        <w:t>"</w:t>
      </w:r>
      <w:r>
        <w:rPr>
          <w:u w:val="single"/>
        </w:rPr>
        <w:t>          </w:t>
      </w:r>
      <w:r>
        <w:t xml:space="preserve">" </w:t>
      </w:r>
      <w:r>
        <w:rPr>
          <w:u w:val="single"/>
        </w:rPr>
        <w:t>                              </w:t>
      </w:r>
      <w:r>
        <w:t xml:space="preserve"> 20</w:t>
      </w:r>
      <w:r>
        <w:rPr>
          <w:u w:val="single"/>
        </w:rPr>
        <w:t>            </w:t>
      </w:r>
      <w:r>
        <w:t xml:space="preserve"> г.</w:t>
      </w:r>
    </w:p>
    <w:p w:rsidR="00F06D11" w:rsidRDefault="00F06D11"/>
    <w:p w:rsidR="00F06D11" w:rsidRDefault="00F06D11"/>
    <w:p w:rsidR="00F06D11" w:rsidRDefault="00F06D11"/>
    <w:p w:rsidR="00F06D11" w:rsidRDefault="00F06D11"/>
    <w:p w:rsidR="00F06D11" w:rsidRDefault="00F06D11"/>
    <w:p w:rsidR="00F06D11" w:rsidRDefault="00F06D11"/>
    <w:p w:rsidR="00F06D11" w:rsidRDefault="00F06D11"/>
    <w:p w:rsidR="00F06D11" w:rsidRDefault="00F06D11"/>
    <w:p w:rsidR="00F06D11" w:rsidRDefault="00F06D11"/>
    <w:p w:rsidR="00F06D11" w:rsidRDefault="00F06D11">
      <w:pPr>
        <w:keepNext/>
        <w:keepLines/>
        <w:spacing w:before="6" w:after="6"/>
        <w:ind w:left="9865" w:firstLine="0"/>
        <w:jc w:val="left"/>
      </w:pPr>
    </w:p>
    <w:sectPr w:rsidR="00F06D11">
      <w:headerReference w:type="even" r:id="rId247"/>
      <w:headerReference w:type="default" r:id="rId248"/>
      <w:footerReference w:type="even" r:id="rId249"/>
      <w:footerReference w:type="default" r:id="rId250"/>
      <w:headerReference w:type="first" r:id="rId251"/>
      <w:footerReference w:type="first" r:id="rId252"/>
      <w:pgSz w:w="16838" w:h="11906" w:orient="landscape"/>
      <w:pgMar w:top="766" w:right="850" w:bottom="766" w:left="1701" w:header="709" w:footer="709" w:gutter="0"/>
      <w:pgNumType w:start="5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37D" w:rsidRDefault="0038137D">
      <w:pPr>
        <w:spacing w:before="0" w:after="0" w:line="240" w:lineRule="auto"/>
      </w:pPr>
      <w:r>
        <w:separator/>
      </w:r>
    </w:p>
  </w:endnote>
  <w:endnote w:type="continuationSeparator" w:id="0">
    <w:p w:rsidR="0038137D" w:rsidRDefault="0038137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1"/>
    <w:family w:val="swiss"/>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6"/>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6"/>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r>
      <w:t xml:space="preserve">страница </w:t>
    </w:r>
    <w:r>
      <w:rPr>
        <w:b/>
      </w:rPr>
      <w:fldChar w:fldCharType="begin"/>
    </w:r>
    <w:r>
      <w:rPr>
        <w:b/>
      </w:rPr>
      <w:instrText xml:space="preserve"> =</w:instrText>
    </w:r>
    <w:r>
      <w:rPr>
        <w:b/>
      </w:rPr>
      <w:fldChar w:fldCharType="end"/>
    </w:r>
    <w:r>
      <w:t xml:space="preserve"> из </w:t>
    </w:r>
    <w:r>
      <w:rPr>
        <w:b/>
      </w:rPr>
      <w:fldChar w:fldCharType="begin"/>
    </w:r>
    <w:r>
      <w:rPr>
        <w:b/>
      </w:rPr>
      <w:instrText xml:space="preserve"> =</w:instrText>
    </w:r>
    <w:r>
      <w:rPr>
        <w:b/>
      </w:rPr>
      <w:fldChar w:fldCharType="end"/>
    </w:r>
    <w:r>
      <w:t xml:space="preserve">страница </w:t>
    </w:r>
    <w:r>
      <w:rPr>
        <w:b/>
      </w:rPr>
      <w:fldChar w:fldCharType="begin"/>
    </w:r>
    <w:r>
      <w:rPr>
        <w:b/>
      </w:rPr>
      <w:instrText xml:space="preserve"> =</w:instrText>
    </w:r>
    <w:r>
      <w:rPr>
        <w:b/>
      </w:rPr>
      <w:fldChar w:fldCharType="end"/>
    </w:r>
    <w:r>
      <w:t xml:space="preserve"> из </w:t>
    </w:r>
    <w:r>
      <w:rPr>
        <w:b/>
      </w:rPr>
      <w:fldChar w:fldCharType="begin"/>
    </w:r>
    <w:r>
      <w:rPr>
        <w:b/>
      </w:rPr>
      <w:instrText xml:space="preserve"> =</w:instrText>
    </w:r>
    <w:r>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6"/>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6"/>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6"/>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6"/>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6"/>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6"/>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6"/>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6"/>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37D" w:rsidRDefault="0038137D">
      <w:pPr>
        <w:spacing w:before="0" w:after="0" w:line="240" w:lineRule="auto"/>
      </w:pPr>
      <w:r>
        <w:separator/>
      </w:r>
    </w:p>
  </w:footnote>
  <w:footnote w:type="continuationSeparator" w:id="0">
    <w:p w:rsidR="0038137D" w:rsidRDefault="0038137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t>0</w:t>
    </w:r>
    <w:r>
      <w:fldChar w:fldCharType="end"/>
    </w:r>
  </w:p>
  <w:p w:rsidR="0038137D" w:rsidRDefault="0038137D">
    <w:pPr>
      <w:pStyle w:val="aff5"/>
    </w:pPr>
    <w:r>
      <w:fldChar w:fldCharType="begin"/>
    </w:r>
    <w:r>
      <w:instrText xml:space="preserve"> PAGE </w:instrText>
    </w:r>
    <w:r>
      <w:fldChar w:fldCharType="separate"/>
    </w:r>
    <w:r>
      <w:t>0</w:t>
    </w:r>
    <w:r>
      <w:fldChar w:fldCharType="end"/>
    </w:r>
  </w:p>
  <w:p w:rsidR="0038137D" w:rsidRDefault="0038137D"/>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rsidR="00764290">
      <w:rPr>
        <w:noProof/>
      </w:rPr>
      <w:t>22</w:t>
    </w:r>
    <w:r>
      <w:fldChar w:fldCharType="end"/>
    </w:r>
  </w:p>
  <w:p w:rsidR="0038137D" w:rsidRDefault="0038137D">
    <w:pPr>
      <w:pStyle w:val="aff5"/>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rsidR="00764290">
      <w:rPr>
        <w:noProof/>
      </w:rPr>
      <w:t>21</w:t>
    </w:r>
    <w:r>
      <w:fldChar w:fldCharType="end"/>
    </w:r>
  </w:p>
  <w:p w:rsidR="0038137D" w:rsidRDefault="0038137D">
    <w:pPr>
      <w:pStyle w:val="aff5"/>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rsidR="00764290">
      <w:rPr>
        <w:noProof/>
      </w:rPr>
      <w:t>25</w:t>
    </w:r>
    <w:r>
      <w:fldChar w:fldCharType="end"/>
    </w:r>
  </w:p>
  <w:p w:rsidR="0038137D" w:rsidRDefault="0038137D">
    <w:pPr>
      <w:pStyle w:val="aff5"/>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t>25</w:t>
    </w:r>
    <w:r>
      <w:fldChar w:fldCharType="end"/>
    </w:r>
  </w:p>
  <w:p w:rsidR="0038137D" w:rsidRDefault="0038137D">
    <w:pPr>
      <w:pStyle w:val="aff5"/>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t>0</w:t>
    </w:r>
    <w:r>
      <w:fldChar w:fldCharType="end"/>
    </w:r>
  </w:p>
  <w:p w:rsidR="0038137D" w:rsidRDefault="0038137D">
    <w:pPr>
      <w:pStyle w:val="aff5"/>
    </w:pPr>
    <w:r>
      <w:fldChar w:fldCharType="begin"/>
    </w:r>
    <w:r>
      <w:instrText xml:space="preserve"> PAGE </w:instrText>
    </w:r>
    <w:r>
      <w:fldChar w:fldCharType="separate"/>
    </w:r>
    <w:r>
      <w:t>0</w:t>
    </w:r>
    <w:r>
      <w:fldChar w:fldCharType="end"/>
    </w:r>
  </w:p>
  <w:p w:rsidR="0038137D" w:rsidRDefault="0038137D"/>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rsidR="00764290">
      <w:rPr>
        <w:noProof/>
      </w:rPr>
      <w:t>28</w:t>
    </w:r>
    <w:r>
      <w:fldChar w:fldCharType="end"/>
    </w:r>
  </w:p>
  <w:p w:rsidR="0038137D" w:rsidRDefault="0038137D">
    <w:pPr>
      <w:pStyle w:val="aff5"/>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rsidR="00764290">
      <w:rPr>
        <w:noProof/>
      </w:rPr>
      <w:t>26</w:t>
    </w:r>
    <w:r>
      <w:fldChar w:fldCharType="end"/>
    </w:r>
  </w:p>
  <w:p w:rsidR="0038137D" w:rsidRDefault="0038137D">
    <w:pPr>
      <w:pStyle w:val="aff5"/>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t>0</w:t>
    </w:r>
    <w:r>
      <w:fldChar w:fldCharType="end"/>
    </w:r>
  </w:p>
  <w:p w:rsidR="0038137D" w:rsidRDefault="0038137D">
    <w:pPr>
      <w:pStyle w:val="aff5"/>
    </w:pPr>
    <w:r>
      <w:fldChar w:fldCharType="begin"/>
    </w:r>
    <w:r>
      <w:instrText xml:space="preserve"> PAGE </w:instrText>
    </w:r>
    <w:r>
      <w:fldChar w:fldCharType="separate"/>
    </w:r>
    <w:r>
      <w:t>0</w:t>
    </w:r>
    <w:r>
      <w:fldChar w:fldCharType="end"/>
    </w:r>
  </w:p>
  <w:p w:rsidR="0038137D" w:rsidRDefault="0038137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rPr>
        <w:color w:val="B2B2B2"/>
      </w:rPr>
    </w:pPr>
  </w:p>
  <w:p w:rsidR="0038137D" w:rsidRDefault="0038137D">
    <w:pPr>
      <w:pStyle w:val="aff5"/>
      <w:rPr>
        <w:color w:val="B2B2B2"/>
      </w:rPr>
    </w:pPr>
    <w:r>
      <w:rPr>
        <w:color w:val="B2B2B2"/>
      </w:rPr>
      <w:fldChar w:fldCharType="begin"/>
    </w:r>
    <w:r>
      <w:rPr>
        <w:color w:val="B2B2B2"/>
      </w:rPr>
      <w:instrText xml:space="preserve"> PAGE </w:instrText>
    </w:r>
    <w:r>
      <w:rPr>
        <w:color w:val="B2B2B2"/>
      </w:rPr>
      <w:fldChar w:fldCharType="separate"/>
    </w:r>
    <w:r w:rsidR="00764290">
      <w:rPr>
        <w:noProof/>
        <w:color w:val="B2B2B2"/>
      </w:rPr>
      <w:t>1</w:t>
    </w:r>
    <w:r>
      <w:rPr>
        <w:color w:val="B2B2B2"/>
      </w:rPr>
      <w:fldChar w:fldCharType="end"/>
    </w:r>
  </w:p>
  <w:p w:rsidR="0038137D" w:rsidRDefault="0038137D">
    <w:pPr>
      <w:pStyle w:val="aff5"/>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rsidR="00764290">
      <w:rPr>
        <w:noProof/>
      </w:rPr>
      <w:t>29</w:t>
    </w:r>
    <w:r>
      <w:fldChar w:fldCharType="end"/>
    </w:r>
  </w:p>
  <w:p w:rsidR="0038137D" w:rsidRDefault="0038137D">
    <w:pPr>
      <w:pStyle w:val="aff5"/>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t>29</w:t>
    </w:r>
    <w:r>
      <w:fldChar w:fldCharType="end"/>
    </w:r>
  </w:p>
  <w:p w:rsidR="0038137D" w:rsidRDefault="0038137D">
    <w:pPr>
      <w:pStyle w:val="aff5"/>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t>0</w:t>
    </w:r>
    <w:r>
      <w:fldChar w:fldCharType="end"/>
    </w:r>
  </w:p>
  <w:p w:rsidR="0038137D" w:rsidRDefault="0038137D">
    <w:pPr>
      <w:pStyle w:val="aff5"/>
    </w:pPr>
    <w:r>
      <w:fldChar w:fldCharType="begin"/>
    </w:r>
    <w:r>
      <w:instrText xml:space="preserve"> PAGE </w:instrText>
    </w:r>
    <w:r>
      <w:fldChar w:fldCharType="separate"/>
    </w:r>
    <w:r>
      <w:t>0</w:t>
    </w:r>
    <w:r>
      <w:fldChar w:fldCharType="end"/>
    </w:r>
  </w:p>
  <w:p w:rsidR="0038137D" w:rsidRDefault="0038137D"/>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rsidR="00764290">
      <w:rPr>
        <w:noProof/>
      </w:rPr>
      <w:t>34</w:t>
    </w:r>
    <w:r>
      <w:fldChar w:fldCharType="end"/>
    </w:r>
  </w:p>
  <w:p w:rsidR="0038137D" w:rsidRDefault="0038137D">
    <w:pPr>
      <w:pStyle w:val="aff5"/>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rsidR="00764290">
      <w:rPr>
        <w:noProof/>
      </w:rPr>
      <w:t>30</w:t>
    </w:r>
    <w:r>
      <w:fldChar w:fldCharType="end"/>
    </w:r>
  </w:p>
  <w:p w:rsidR="0038137D" w:rsidRDefault="0038137D">
    <w:pPr>
      <w:pStyle w:val="aff5"/>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t>0</w:t>
    </w:r>
    <w:r>
      <w:fldChar w:fldCharType="end"/>
    </w:r>
  </w:p>
  <w:p w:rsidR="0038137D" w:rsidRDefault="0038137D">
    <w:pPr>
      <w:pStyle w:val="aff5"/>
    </w:pPr>
    <w:r>
      <w:fldChar w:fldCharType="begin"/>
    </w:r>
    <w:r>
      <w:instrText xml:space="preserve"> PAGE </w:instrText>
    </w:r>
    <w:r>
      <w:fldChar w:fldCharType="separate"/>
    </w:r>
    <w:r>
      <w:t>0</w:t>
    </w:r>
    <w:r>
      <w:fldChar w:fldCharType="end"/>
    </w:r>
  </w:p>
  <w:p w:rsidR="0038137D" w:rsidRDefault="0038137D"/>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rsidR="00764290">
      <w:rPr>
        <w:noProof/>
      </w:rPr>
      <w:t>39</w:t>
    </w:r>
    <w:r>
      <w:fldChar w:fldCharType="end"/>
    </w:r>
  </w:p>
  <w:p w:rsidR="0038137D" w:rsidRDefault="0038137D">
    <w:pPr>
      <w:pStyle w:val="aff5"/>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rsidR="00764290">
      <w:rPr>
        <w:noProof/>
      </w:rPr>
      <w:t>35</w:t>
    </w:r>
    <w:r>
      <w:fldChar w:fldCharType="end"/>
    </w:r>
  </w:p>
  <w:p w:rsidR="0038137D" w:rsidRDefault="0038137D">
    <w:pPr>
      <w:pStyle w:val="aff5"/>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t>0</w:t>
    </w:r>
    <w:r>
      <w:fldChar w:fldCharType="end"/>
    </w:r>
  </w:p>
  <w:p w:rsidR="0038137D" w:rsidRDefault="0038137D">
    <w:pPr>
      <w:pStyle w:val="aff5"/>
    </w:pPr>
    <w:r>
      <w:fldChar w:fldCharType="begin"/>
    </w:r>
    <w:r>
      <w:instrText xml:space="preserve"> PAGE </w:instrText>
    </w:r>
    <w:r>
      <w:fldChar w:fldCharType="separate"/>
    </w:r>
    <w:r>
      <w:t>0</w:t>
    </w:r>
    <w:r>
      <w:fldChar w:fldCharType="end"/>
    </w:r>
  </w:p>
  <w:p w:rsidR="0038137D" w:rsidRDefault="0038137D">
    <w:r>
      <w:t>Порядок выдачи под отчет денежных средств, составления и представления отчетов подотчетными лицами</w:t>
    </w:r>
    <w:r>
      <w:br w:type="textWrapping" w:clear="all"/>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rsidR="00764290">
      <w:rPr>
        <w:noProof/>
      </w:rPr>
      <w:t>41</w:t>
    </w:r>
    <w:r>
      <w:fldChar w:fldCharType="end"/>
    </w:r>
  </w:p>
  <w:p w:rsidR="0038137D" w:rsidRDefault="0038137D">
    <w:pPr>
      <w:pStyle w:val="af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rPr>
        <w:color w:val="B2B2B2"/>
      </w:rPr>
    </w:pPr>
  </w:p>
  <w:p w:rsidR="0038137D" w:rsidRDefault="0038137D">
    <w:pPr>
      <w:pStyle w:val="aff5"/>
      <w:rPr>
        <w:color w:val="B2B2B2"/>
      </w:rPr>
    </w:pPr>
    <w:r>
      <w:rPr>
        <w:color w:val="B2B2B2"/>
      </w:rPr>
      <w:fldChar w:fldCharType="begin"/>
    </w:r>
    <w:r>
      <w:rPr>
        <w:color w:val="B2B2B2"/>
      </w:rPr>
      <w:instrText xml:space="preserve"> PAGE </w:instrText>
    </w:r>
    <w:r>
      <w:rPr>
        <w:color w:val="B2B2B2"/>
      </w:rPr>
      <w:fldChar w:fldCharType="separate"/>
    </w:r>
    <w:r>
      <w:rPr>
        <w:color w:val="B2B2B2"/>
      </w:rPr>
      <w:t>2</w:t>
    </w:r>
    <w:r>
      <w:rPr>
        <w:color w:val="B2B2B2"/>
      </w:rPr>
      <w:fldChar w:fldCharType="end"/>
    </w:r>
  </w:p>
  <w:p w:rsidR="0038137D" w:rsidRDefault="0038137D">
    <w:pPr>
      <w:pStyle w:val="aff5"/>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rsidR="00764290">
      <w:rPr>
        <w:noProof/>
      </w:rPr>
      <w:t>40</w:t>
    </w:r>
    <w:r>
      <w:fldChar w:fldCharType="end"/>
    </w:r>
  </w:p>
  <w:p w:rsidR="0038137D" w:rsidRDefault="0038137D">
    <w:pPr>
      <w:pStyle w:val="aff5"/>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rsidR="00764290">
      <w:rPr>
        <w:noProof/>
      </w:rPr>
      <w:t>42</w:t>
    </w:r>
    <w:r>
      <w:fldChar w:fldCharType="end"/>
    </w:r>
  </w:p>
  <w:p w:rsidR="0038137D" w:rsidRDefault="0038137D">
    <w:pPr>
      <w:pStyle w:val="aff5"/>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t>42</w:t>
    </w:r>
    <w:r>
      <w:fldChar w:fldCharType="end"/>
    </w:r>
  </w:p>
  <w:p w:rsidR="0038137D" w:rsidRDefault="0038137D">
    <w:pPr>
      <w:pStyle w:val="aff5"/>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rsidR="00764290">
      <w:rPr>
        <w:noProof/>
      </w:rPr>
      <w:t>43</w:t>
    </w:r>
    <w:r>
      <w:fldChar w:fldCharType="end"/>
    </w:r>
  </w:p>
  <w:p w:rsidR="0038137D" w:rsidRDefault="0038137D">
    <w:pPr>
      <w:pStyle w:val="aff5"/>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t>43</w:t>
    </w:r>
    <w:r>
      <w:fldChar w:fldCharType="end"/>
    </w:r>
  </w:p>
  <w:p w:rsidR="0038137D" w:rsidRDefault="0038137D">
    <w:pPr>
      <w:pStyle w:val="aff5"/>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t>0</w:t>
    </w:r>
    <w:r>
      <w:fldChar w:fldCharType="end"/>
    </w:r>
  </w:p>
  <w:p w:rsidR="0038137D" w:rsidRDefault="0038137D">
    <w:pPr>
      <w:pStyle w:val="aff5"/>
    </w:pPr>
    <w:r>
      <w:fldChar w:fldCharType="begin"/>
    </w:r>
    <w:r>
      <w:instrText xml:space="preserve"> PAGE </w:instrText>
    </w:r>
    <w:r>
      <w:fldChar w:fldCharType="separate"/>
    </w:r>
    <w:r>
      <w:t>0</w:t>
    </w:r>
    <w:r>
      <w:fldChar w:fldCharType="end"/>
    </w:r>
  </w:p>
  <w:p w:rsidR="0038137D" w:rsidRDefault="0038137D"/>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rsidR="00764290">
      <w:rPr>
        <w:noProof/>
      </w:rPr>
      <w:t>45</w:t>
    </w:r>
    <w:r>
      <w:fldChar w:fldCharType="end"/>
    </w:r>
  </w:p>
  <w:p w:rsidR="0038137D" w:rsidRDefault="0038137D">
    <w:pPr>
      <w:pStyle w:val="aff5"/>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t>45</w:t>
    </w:r>
    <w:r>
      <w:fldChar w:fldCharType="end"/>
    </w:r>
  </w:p>
  <w:p w:rsidR="0038137D" w:rsidRDefault="0038137D">
    <w:pPr>
      <w:pStyle w:val="af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t>0</w:t>
    </w:r>
    <w:r>
      <w:fldChar w:fldCharType="end"/>
    </w:r>
  </w:p>
  <w:p w:rsidR="0038137D" w:rsidRDefault="0038137D">
    <w:pPr>
      <w:pStyle w:val="aff5"/>
    </w:pPr>
    <w:r>
      <w:fldChar w:fldCharType="begin"/>
    </w:r>
    <w:r>
      <w:instrText xml:space="preserve"> PAGE </w:instrText>
    </w:r>
    <w:r>
      <w:fldChar w:fldCharType="separate"/>
    </w:r>
    <w:r>
      <w:t>0</w:t>
    </w:r>
    <w:r>
      <w:fldChar w:fldCharType="end"/>
    </w:r>
  </w:p>
  <w:p w:rsidR="0038137D" w:rsidRDefault="0038137D"/>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rsidR="00764290">
      <w:rPr>
        <w:noProof/>
      </w:rPr>
      <w:t>49</w:t>
    </w:r>
    <w:r>
      <w:fldChar w:fldCharType="end"/>
    </w:r>
  </w:p>
  <w:p w:rsidR="0038137D" w:rsidRDefault="0038137D">
    <w:pPr>
      <w:pStyle w:val="aff5"/>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rsidR="00764290">
      <w:rPr>
        <w:noProof/>
      </w:rPr>
      <w:t>46</w:t>
    </w:r>
    <w:r>
      <w:fldChar w:fldCharType="end"/>
    </w:r>
  </w:p>
  <w:p w:rsidR="0038137D" w:rsidRDefault="0038137D">
    <w:pPr>
      <w:pStyle w:val="aff5"/>
    </w:pP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t>0</w:t>
    </w:r>
    <w:r>
      <w:fldChar w:fldCharType="end"/>
    </w:r>
  </w:p>
  <w:p w:rsidR="0038137D" w:rsidRDefault="0038137D">
    <w:pPr>
      <w:pStyle w:val="aff5"/>
    </w:pPr>
    <w:r>
      <w:fldChar w:fldCharType="begin"/>
    </w:r>
    <w:r>
      <w:instrText xml:space="preserve"> PAGE </w:instrText>
    </w:r>
    <w:r>
      <w:fldChar w:fldCharType="separate"/>
    </w:r>
    <w:r>
      <w:t>0</w:t>
    </w:r>
    <w:r>
      <w:fldChar w:fldCharType="end"/>
    </w:r>
  </w:p>
  <w:p w:rsidR="0038137D" w:rsidRDefault="0038137D"/>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rsidR="00764290">
      <w:rPr>
        <w:noProof/>
      </w:rPr>
      <w:t>54</w:t>
    </w:r>
    <w:r>
      <w:fldChar w:fldCharType="end"/>
    </w:r>
  </w:p>
  <w:p w:rsidR="0038137D" w:rsidRDefault="0038137D">
    <w:pPr>
      <w:pStyle w:val="aff5"/>
    </w:pP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rsidR="00764290">
      <w:rPr>
        <w:noProof/>
      </w:rPr>
      <w:t>50</w:t>
    </w:r>
    <w:r>
      <w:fldChar w:fldCharType="end"/>
    </w:r>
  </w:p>
  <w:p w:rsidR="0038137D" w:rsidRDefault="0038137D">
    <w:pPr>
      <w:pStyle w:val="aff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p>
  <w:p w:rsidR="0038137D" w:rsidRDefault="0038137D">
    <w:pPr>
      <w:pStyle w:val="aff5"/>
    </w:pPr>
    <w:r>
      <w:fldChar w:fldCharType="begin"/>
    </w:r>
    <w:r>
      <w:instrText xml:space="preserve"> PAGE </w:instrText>
    </w:r>
    <w:r>
      <w:fldChar w:fldCharType="separate"/>
    </w:r>
    <w:r w:rsidR="00764290">
      <w:rPr>
        <w:noProof/>
      </w:rPr>
      <w:t>4</w:t>
    </w:r>
    <w:r>
      <w:fldChar w:fldCharType="end"/>
    </w:r>
  </w:p>
  <w:p w:rsidR="0038137D" w:rsidRDefault="0038137D">
    <w:pPr>
      <w:pStyle w:val="aff5"/>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p>
  <w:p w:rsidR="0038137D" w:rsidRDefault="0038137D">
    <w:pPr>
      <w:pStyle w:val="aff5"/>
    </w:pPr>
    <w:r>
      <w:fldChar w:fldCharType="begin"/>
    </w:r>
    <w:r>
      <w:instrText xml:space="preserve"> PAGE </w:instrText>
    </w:r>
    <w:r>
      <w:fldChar w:fldCharType="separate"/>
    </w:r>
    <w:r w:rsidR="00764290">
      <w:rPr>
        <w:noProof/>
      </w:rPr>
      <w:t>3</w:t>
    </w:r>
    <w:r>
      <w:fldChar w:fldCharType="end"/>
    </w:r>
  </w:p>
  <w:p w:rsidR="0038137D" w:rsidRDefault="0038137D">
    <w:pPr>
      <w:pStyle w:val="aff5"/>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rsidR="00764290">
      <w:rPr>
        <w:noProof/>
      </w:rPr>
      <w:t>20</w:t>
    </w:r>
    <w:r>
      <w:fldChar w:fldCharType="end"/>
    </w:r>
  </w:p>
  <w:p w:rsidR="0038137D" w:rsidRDefault="0038137D">
    <w:pPr>
      <w:pStyle w:val="aff5"/>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37D" w:rsidRDefault="0038137D">
    <w:pPr>
      <w:pStyle w:val="aff5"/>
    </w:pPr>
    <w:r>
      <w:fldChar w:fldCharType="begin"/>
    </w:r>
    <w:r>
      <w:instrText xml:space="preserve"> PAGE </w:instrText>
    </w:r>
    <w:r>
      <w:fldChar w:fldCharType="separate"/>
    </w:r>
    <w:r>
      <w:t>20</w:t>
    </w:r>
    <w:r>
      <w:fldChar w:fldCharType="end"/>
    </w:r>
  </w:p>
  <w:p w:rsidR="0038137D" w:rsidRDefault="0038137D">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F6543"/>
    <w:multiLevelType w:val="multilevel"/>
    <w:tmpl w:val="2F74D034"/>
    <w:lvl w:ilvl="0">
      <w:start w:val="1"/>
      <w:numFmt w:val="decimal"/>
      <w:pStyle w:val="1"/>
      <w:suff w:val="space"/>
      <w:lvlText w:val="%1."/>
      <w:lvlJc w:val="left"/>
      <w:pPr>
        <w:tabs>
          <w:tab w:val="num" w:pos="0"/>
        </w:tabs>
        <w:ind w:left="0" w:firstLine="0"/>
      </w:pPr>
    </w:lvl>
    <w:lvl w:ilvl="1">
      <w:start w:val="1"/>
      <w:numFmt w:val="decimal"/>
      <w:suff w:val="space"/>
      <w:lvlText w:val="%1.%2."/>
      <w:lvlJc w:val="left"/>
      <w:pPr>
        <w:tabs>
          <w:tab w:val="num" w:pos="0"/>
        </w:tabs>
        <w:ind w:left="0" w:firstLine="0"/>
      </w:pPr>
    </w:lvl>
    <w:lvl w:ilvl="2">
      <w:start w:val="1"/>
      <w:numFmt w:val="decimal"/>
      <w:suff w:val="space"/>
      <w:lvlText w:val="%1.%2.%3."/>
      <w:lvlJc w:val="left"/>
      <w:pPr>
        <w:tabs>
          <w:tab w:val="num" w:pos="0"/>
        </w:tabs>
        <w:ind w:left="0" w:firstLine="0"/>
      </w:pPr>
    </w:lvl>
    <w:lvl w:ilvl="3">
      <w:start w:val="1"/>
      <w:numFmt w:val="decimal"/>
      <w:suff w:val="space"/>
      <w:lvlText w:val="%1.%2.%3.%4."/>
      <w:lvlJc w:val="left"/>
      <w:pPr>
        <w:tabs>
          <w:tab w:val="num" w:pos="0"/>
        </w:tabs>
        <w:ind w:left="0" w:firstLine="0"/>
      </w:pPr>
    </w:lvl>
    <w:lvl w:ilvl="4">
      <w:start w:val="1"/>
      <w:numFmt w:val="decimal"/>
      <w:suff w:val="space"/>
      <w:lvlText w:val="%1.%2.%3.%4.%5."/>
      <w:lvlJc w:val="left"/>
      <w:pPr>
        <w:tabs>
          <w:tab w:val="num" w:pos="0"/>
        </w:tabs>
        <w:ind w:left="0" w:firstLine="0"/>
      </w:pPr>
    </w:lvl>
    <w:lvl w:ilvl="5">
      <w:start w:val="1"/>
      <w:numFmt w:val="decimal"/>
      <w:suff w:val="space"/>
      <w:lvlText w:val="%1.%2.%3.%4.%5.%6."/>
      <w:lvlJc w:val="left"/>
      <w:pPr>
        <w:tabs>
          <w:tab w:val="num" w:pos="0"/>
        </w:tabs>
        <w:ind w:left="0" w:firstLine="0"/>
      </w:pPr>
    </w:lvl>
    <w:lvl w:ilvl="6">
      <w:start w:val="1"/>
      <w:numFmt w:val="decimal"/>
      <w:suff w:val="space"/>
      <w:lvlText w:val="%1.%2.%3.%4.%5.%6.%7."/>
      <w:lvlJc w:val="left"/>
      <w:pPr>
        <w:tabs>
          <w:tab w:val="num" w:pos="0"/>
        </w:tabs>
        <w:ind w:left="0" w:firstLine="0"/>
      </w:pPr>
    </w:lvl>
    <w:lvl w:ilvl="7">
      <w:start w:val="1"/>
      <w:numFmt w:val="decimal"/>
      <w:suff w:val="space"/>
      <w:lvlText w:val="%1.%2.%3.%4.%5.%6.%7.%8."/>
      <w:lvlJc w:val="left"/>
      <w:pPr>
        <w:tabs>
          <w:tab w:val="num" w:pos="0"/>
        </w:tabs>
        <w:ind w:left="0" w:firstLine="0"/>
      </w:pPr>
    </w:lvl>
    <w:lvl w:ilvl="8">
      <w:start w:val="1"/>
      <w:numFmt w:val="decimal"/>
      <w:suff w:val="space"/>
      <w:lvlText w:val="%1.%2.%3.%4.%5.%6.%7.%8.%9."/>
      <w:lvlJc w:val="left"/>
      <w:pPr>
        <w:tabs>
          <w:tab w:val="num" w:pos="0"/>
        </w:tabs>
        <w:ind w:left="0" w:firstLine="0"/>
      </w:pPr>
    </w:lvl>
  </w:abstractNum>
  <w:abstractNum w:abstractNumId="1" w15:restartNumberingAfterBreak="0">
    <w:nsid w:val="19260004"/>
    <w:multiLevelType w:val="multilevel"/>
    <w:tmpl w:val="6C3E09BE"/>
    <w:lvl w:ilvl="0">
      <w:start w:val="1"/>
      <w:numFmt w:val="decimal"/>
      <w:pStyle w:val="heading1normal"/>
      <w:suff w:val="space"/>
      <w:lvlText w:val="%1."/>
      <w:lvlJc w:val="left"/>
      <w:pPr>
        <w:tabs>
          <w:tab w:val="num" w:pos="0"/>
        </w:tabs>
        <w:ind w:left="0" w:firstLine="0"/>
      </w:pPr>
    </w:lvl>
    <w:lvl w:ilvl="1">
      <w:start w:val="1"/>
      <w:numFmt w:val="decimal"/>
      <w:suff w:val="space"/>
      <w:lvlText w:val="%1.%2."/>
      <w:lvlJc w:val="left"/>
      <w:pPr>
        <w:tabs>
          <w:tab w:val="num" w:pos="0"/>
        </w:tabs>
        <w:ind w:left="0" w:firstLine="0"/>
      </w:pPr>
    </w:lvl>
    <w:lvl w:ilvl="2">
      <w:start w:val="1"/>
      <w:numFmt w:val="decimal"/>
      <w:suff w:val="space"/>
      <w:lvlText w:val="%1.%2.%3."/>
      <w:lvlJc w:val="left"/>
      <w:pPr>
        <w:tabs>
          <w:tab w:val="num" w:pos="0"/>
        </w:tabs>
        <w:ind w:left="0" w:firstLine="0"/>
      </w:pPr>
    </w:lvl>
    <w:lvl w:ilvl="3">
      <w:start w:val="1"/>
      <w:numFmt w:val="decimal"/>
      <w:suff w:val="space"/>
      <w:lvlText w:val="%1.%2.%3.%4."/>
      <w:lvlJc w:val="left"/>
      <w:pPr>
        <w:tabs>
          <w:tab w:val="num" w:pos="0"/>
        </w:tabs>
        <w:ind w:left="0" w:firstLine="0"/>
      </w:pPr>
    </w:lvl>
    <w:lvl w:ilvl="4">
      <w:start w:val="1"/>
      <w:numFmt w:val="decimal"/>
      <w:suff w:val="space"/>
      <w:lvlText w:val="%1.%2.%3.%4.%5."/>
      <w:lvlJc w:val="left"/>
      <w:pPr>
        <w:tabs>
          <w:tab w:val="num" w:pos="0"/>
        </w:tabs>
        <w:ind w:left="0" w:firstLine="0"/>
      </w:pPr>
    </w:lvl>
    <w:lvl w:ilvl="5">
      <w:start w:val="1"/>
      <w:numFmt w:val="decimal"/>
      <w:suff w:val="space"/>
      <w:lvlText w:val="%1.%2.%3.%4.%5.%6."/>
      <w:lvlJc w:val="left"/>
      <w:pPr>
        <w:tabs>
          <w:tab w:val="num" w:pos="0"/>
        </w:tabs>
        <w:ind w:left="0" w:firstLine="0"/>
      </w:pPr>
    </w:lvl>
    <w:lvl w:ilvl="6">
      <w:start w:val="1"/>
      <w:numFmt w:val="decimal"/>
      <w:suff w:val="space"/>
      <w:lvlText w:val="%1.%2.%3.%4.%5.%6.%7."/>
      <w:lvlJc w:val="left"/>
      <w:pPr>
        <w:tabs>
          <w:tab w:val="num" w:pos="0"/>
        </w:tabs>
        <w:ind w:left="0" w:firstLine="0"/>
      </w:pPr>
    </w:lvl>
    <w:lvl w:ilvl="7">
      <w:start w:val="1"/>
      <w:numFmt w:val="decimal"/>
      <w:suff w:val="space"/>
      <w:lvlText w:val="%1.%2.%3.%4.%5.%6.%7.%8."/>
      <w:lvlJc w:val="left"/>
      <w:pPr>
        <w:tabs>
          <w:tab w:val="num" w:pos="0"/>
        </w:tabs>
        <w:ind w:left="0" w:firstLine="0"/>
      </w:pPr>
    </w:lvl>
    <w:lvl w:ilvl="8">
      <w:start w:val="1"/>
      <w:numFmt w:val="decimal"/>
      <w:suff w:val="space"/>
      <w:lvlText w:val="%1.%2.%3.%4.%5.%6.%7.%8.%9."/>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autoHyphenation/>
  <w:characterSpacingControl w:val="doNotCompress"/>
  <w:footnotePr>
    <w:footnote w:id="-1"/>
    <w:footnote w:id="0"/>
  </w:footnotePr>
  <w:endnotePr>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D11"/>
    <w:rsid w:val="0038137D"/>
    <w:rsid w:val="00620920"/>
    <w:rsid w:val="00764290"/>
    <w:rsid w:val="00C26B7D"/>
    <w:rsid w:val="00F06D11"/>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B0CFDA-3179-4A7C-8E59-66D0B9141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ahoma" w:hAnsi="Times New Roman" w:cs="Noto Sans Devanagari"/>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before="120" w:after="120" w:line="276" w:lineRule="auto"/>
      <w:ind w:firstLine="482"/>
      <w:jc w:val="both"/>
    </w:pPr>
    <w:rPr>
      <w:rFonts w:eastAsia="Times New Roman" w:cs="Times New Roman"/>
      <w:sz w:val="22"/>
      <w:szCs w:val="22"/>
      <w:lang w:bidi="ar-SA"/>
    </w:rPr>
  </w:style>
  <w:style w:type="paragraph" w:styleId="1">
    <w:name w:val="heading 1"/>
    <w:basedOn w:val="a"/>
    <w:qFormat/>
    <w:pPr>
      <w:keepNext/>
      <w:keepLines/>
      <w:numPr>
        <w:numId w:val="2"/>
      </w:numPr>
      <w:spacing w:before="240"/>
      <w:jc w:val="center"/>
      <w:outlineLvl w:val="0"/>
    </w:pPr>
    <w:rPr>
      <w:b/>
      <w:bCs/>
      <w:sz w:val="24"/>
      <w:szCs w:val="28"/>
    </w:rPr>
  </w:style>
  <w:style w:type="paragraph" w:styleId="2">
    <w:name w:val="heading 2"/>
    <w:basedOn w:val="a"/>
    <w:qFormat/>
    <w:pPr>
      <w:tabs>
        <w:tab w:val="num" w:pos="0"/>
      </w:tabs>
      <w:outlineLvl w:val="1"/>
    </w:pPr>
    <w:rPr>
      <w:bCs/>
      <w:szCs w:val="26"/>
    </w:rPr>
  </w:style>
  <w:style w:type="paragraph" w:styleId="3">
    <w:name w:val="heading 3"/>
    <w:basedOn w:val="a"/>
    <w:qFormat/>
    <w:pPr>
      <w:tabs>
        <w:tab w:val="num" w:pos="0"/>
      </w:tabs>
      <w:outlineLvl w:val="2"/>
    </w:pPr>
    <w:rPr>
      <w:bCs/>
    </w:rPr>
  </w:style>
  <w:style w:type="paragraph" w:styleId="4">
    <w:name w:val="heading 4"/>
    <w:basedOn w:val="a"/>
    <w:qFormat/>
    <w:pPr>
      <w:tabs>
        <w:tab w:val="num" w:pos="0"/>
      </w:tabs>
      <w:outlineLvl w:val="3"/>
    </w:pPr>
    <w:rPr>
      <w:bCs/>
      <w:iCs/>
    </w:rPr>
  </w:style>
  <w:style w:type="paragraph" w:styleId="5">
    <w:name w:val="heading 5"/>
    <w:basedOn w:val="a"/>
    <w:qFormat/>
    <w:pPr>
      <w:keepNext/>
      <w:keepLines/>
      <w:tabs>
        <w:tab w:val="num" w:pos="0"/>
      </w:tabs>
      <w:spacing w:before="200" w:after="0"/>
      <w:outlineLvl w:val="4"/>
    </w:pPr>
    <w:rPr>
      <w:rFonts w:ascii="Cambria" w:hAnsi="Cambria"/>
    </w:rPr>
  </w:style>
  <w:style w:type="paragraph" w:styleId="6">
    <w:name w:val="heading 6"/>
    <w:basedOn w:val="a"/>
    <w:qFormat/>
    <w:pPr>
      <w:keepNext/>
      <w:keepLines/>
      <w:tabs>
        <w:tab w:val="num" w:pos="0"/>
      </w:tabs>
      <w:spacing w:before="200" w:after="0"/>
      <w:outlineLvl w:val="5"/>
    </w:pPr>
    <w:rPr>
      <w:rFonts w:ascii="Cambria" w:hAnsi="Cambria"/>
      <w:i/>
      <w:iCs/>
      <w:color w:val="243F60"/>
    </w:rPr>
  </w:style>
  <w:style w:type="paragraph" w:styleId="7">
    <w:name w:val="heading 7"/>
    <w:basedOn w:val="a"/>
    <w:qFormat/>
    <w:pPr>
      <w:keepNext/>
      <w:keepLines/>
      <w:tabs>
        <w:tab w:val="num" w:pos="0"/>
      </w:tabs>
      <w:spacing w:before="200" w:after="0"/>
      <w:outlineLvl w:val="6"/>
    </w:pPr>
    <w:rPr>
      <w:rFonts w:ascii="Cambria" w:hAnsi="Cambria"/>
      <w:i/>
      <w:iCs/>
      <w:color w:val="404040"/>
    </w:rPr>
  </w:style>
  <w:style w:type="paragraph" w:styleId="8">
    <w:name w:val="heading 8"/>
    <w:basedOn w:val="a"/>
    <w:qFormat/>
    <w:pPr>
      <w:keepNext/>
      <w:keepLines/>
      <w:tabs>
        <w:tab w:val="num" w:pos="0"/>
      </w:tabs>
      <w:spacing w:before="200" w:after="0"/>
      <w:outlineLvl w:val="7"/>
    </w:pPr>
    <w:rPr>
      <w:rFonts w:ascii="Cambria" w:hAnsi="Cambria"/>
      <w:color w:val="4F81BD"/>
      <w:szCs w:val="20"/>
    </w:rPr>
  </w:style>
  <w:style w:type="paragraph" w:styleId="9">
    <w:name w:val="heading 9"/>
    <w:basedOn w:val="a"/>
    <w:qFormat/>
    <w:pPr>
      <w:keepNext/>
      <w:keepLines/>
      <w:tabs>
        <w:tab w:val="num" w:pos="0"/>
      </w:tabs>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qFormat/>
    <w:rPr>
      <w:rFonts w:ascii="Arial" w:eastAsia="Arial" w:hAnsi="Arial" w:cs="Arial"/>
      <w:sz w:val="40"/>
      <w:szCs w:val="40"/>
    </w:rPr>
  </w:style>
  <w:style w:type="character" w:customStyle="1" w:styleId="Heading2Char">
    <w:name w:val="Heading 2 Char"/>
    <w:uiPriority w:val="9"/>
    <w:qFormat/>
    <w:rPr>
      <w:rFonts w:ascii="Arial" w:eastAsia="Arial" w:hAnsi="Arial" w:cs="Arial"/>
      <w:sz w:val="34"/>
    </w:rPr>
  </w:style>
  <w:style w:type="character" w:customStyle="1" w:styleId="Heading3Char">
    <w:name w:val="Heading 3 Char"/>
    <w:uiPriority w:val="9"/>
    <w:qFormat/>
    <w:rPr>
      <w:rFonts w:ascii="Arial" w:eastAsia="Arial" w:hAnsi="Arial" w:cs="Arial"/>
      <w:sz w:val="30"/>
      <w:szCs w:val="30"/>
    </w:rPr>
  </w:style>
  <w:style w:type="character" w:customStyle="1" w:styleId="Heading4Char">
    <w:name w:val="Heading 4 Char"/>
    <w:uiPriority w:val="9"/>
    <w:qFormat/>
    <w:rPr>
      <w:rFonts w:ascii="Arial" w:eastAsia="Arial" w:hAnsi="Arial" w:cs="Arial"/>
      <w:b/>
      <w:bCs/>
      <w:sz w:val="26"/>
      <w:szCs w:val="26"/>
    </w:rPr>
  </w:style>
  <w:style w:type="character" w:customStyle="1" w:styleId="Heading5Char">
    <w:name w:val="Heading 5 Char"/>
    <w:uiPriority w:val="9"/>
    <w:qFormat/>
    <w:rPr>
      <w:rFonts w:ascii="Arial" w:eastAsia="Arial" w:hAnsi="Arial" w:cs="Arial"/>
      <w:b/>
      <w:bCs/>
      <w:sz w:val="24"/>
      <w:szCs w:val="24"/>
    </w:rPr>
  </w:style>
  <w:style w:type="character" w:customStyle="1" w:styleId="Heading6Char">
    <w:name w:val="Heading 6 Char"/>
    <w:uiPriority w:val="9"/>
    <w:qFormat/>
    <w:rPr>
      <w:rFonts w:ascii="Arial" w:eastAsia="Arial" w:hAnsi="Arial" w:cs="Arial"/>
      <w:b/>
      <w:bCs/>
      <w:sz w:val="22"/>
      <w:szCs w:val="22"/>
    </w:rPr>
  </w:style>
  <w:style w:type="character" w:customStyle="1" w:styleId="Heading7Char">
    <w:name w:val="Heading 7 Char"/>
    <w:uiPriority w:val="9"/>
    <w:qFormat/>
    <w:rPr>
      <w:rFonts w:ascii="Arial" w:eastAsia="Arial" w:hAnsi="Arial" w:cs="Arial"/>
      <w:b/>
      <w:bCs/>
      <w:i/>
      <w:iCs/>
      <w:sz w:val="22"/>
      <w:szCs w:val="22"/>
    </w:rPr>
  </w:style>
  <w:style w:type="character" w:customStyle="1" w:styleId="Heading8Char">
    <w:name w:val="Heading 8 Char"/>
    <w:uiPriority w:val="9"/>
    <w:qFormat/>
    <w:rPr>
      <w:rFonts w:ascii="Arial" w:eastAsia="Arial" w:hAnsi="Arial" w:cs="Arial"/>
      <w:i/>
      <w:iCs/>
      <w:sz w:val="22"/>
      <w:szCs w:val="22"/>
    </w:rPr>
  </w:style>
  <w:style w:type="character" w:customStyle="1" w:styleId="Heading9Char">
    <w:name w:val="Heading 9 Char"/>
    <w:uiPriority w:val="9"/>
    <w:qFormat/>
    <w:rPr>
      <w:rFonts w:ascii="Arial" w:eastAsia="Arial" w:hAnsi="Arial" w:cs="Arial"/>
      <w:i/>
      <w:iCs/>
      <w:sz w:val="21"/>
      <w:szCs w:val="21"/>
    </w:rPr>
  </w:style>
  <w:style w:type="character" w:customStyle="1" w:styleId="TitleChar">
    <w:name w:val="Title Char"/>
    <w:uiPriority w:val="10"/>
    <w:qFormat/>
    <w:rPr>
      <w:sz w:val="48"/>
      <w:szCs w:val="48"/>
    </w:rPr>
  </w:style>
  <w:style w:type="character" w:customStyle="1" w:styleId="SubtitleChar">
    <w:name w:val="Subtitle Char"/>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uiPriority w:val="99"/>
    <w:qFormat/>
  </w:style>
  <w:style w:type="character" w:customStyle="1" w:styleId="FooterChar">
    <w:name w:val="Footer Char"/>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customStyle="1" w:styleId="WW8Num2z0">
    <w:name w:val="WW8Num2z0"/>
    <w:qFormat/>
  </w:style>
  <w:style w:type="character" w:customStyle="1" w:styleId="WW8Num3z0">
    <w:name w:val="WW8Num3z0"/>
    <w:qFormat/>
  </w:style>
  <w:style w:type="character" w:customStyle="1" w:styleId="WW8Num4z0">
    <w:name w:val="WW8Num4z0"/>
    <w:qFormat/>
  </w:style>
  <w:style w:type="character" w:customStyle="1" w:styleId="WW8Num5z0">
    <w:name w:val="WW8Num5z0"/>
    <w:qFormat/>
    <w:rPr>
      <w:b/>
      <w:color w:val="000000"/>
      <w:sz w:val="24"/>
    </w:rPr>
  </w:style>
  <w:style w:type="character" w:customStyle="1" w:styleId="WW8Num6z0">
    <w:name w:val="WW8Num6z0"/>
    <w:qFormat/>
  </w:style>
  <w:style w:type="character" w:customStyle="1" w:styleId="WW8Num7z0">
    <w:name w:val="WW8Num7z0"/>
    <w:qFormat/>
  </w:style>
  <w:style w:type="character" w:customStyle="1" w:styleId="WW8Num8z0">
    <w:name w:val="WW8Num8z0"/>
    <w:qFormat/>
  </w:style>
  <w:style w:type="character" w:customStyle="1" w:styleId="WW8Num12z0">
    <w:name w:val="WW8Num12z0"/>
    <w:qFormat/>
    <w:rPr>
      <w:rFonts w:ascii="Times New Roman" w:hAnsi="Times New Roman" w:cs="Times New Roman"/>
    </w:rPr>
  </w:style>
  <w:style w:type="character" w:customStyle="1" w:styleId="WW8Num13z0">
    <w:name w:val="WW8Num13z0"/>
    <w:qFormat/>
  </w:style>
  <w:style w:type="character" w:customStyle="1" w:styleId="WW8Num14z0">
    <w:name w:val="WW8Num14z0"/>
    <w:qFormat/>
  </w:style>
  <w:style w:type="character" w:customStyle="1" w:styleId="WW8Num17z0">
    <w:name w:val="WW8Num17z0"/>
    <w:qFormat/>
  </w:style>
  <w:style w:type="character" w:customStyle="1" w:styleId="10">
    <w:name w:val="Заголовок 1 Знак"/>
    <w:qFormat/>
    <w:rPr>
      <w:rFonts w:ascii="Times New Roman" w:eastAsia="Times New Roman" w:hAnsi="Times New Roman" w:cs="Times New Roman"/>
      <w:b/>
      <w:bCs/>
      <w:sz w:val="24"/>
      <w:szCs w:val="28"/>
      <w:lang w:val="ru-RU"/>
    </w:rPr>
  </w:style>
  <w:style w:type="character" w:customStyle="1" w:styleId="20">
    <w:name w:val="Заголовок 2 Знак"/>
    <w:qFormat/>
    <w:rPr>
      <w:rFonts w:ascii="Times New Roman" w:eastAsia="Times New Roman" w:hAnsi="Times New Roman" w:cs="Times New Roman"/>
      <w:bCs/>
      <w:sz w:val="20"/>
      <w:szCs w:val="26"/>
      <w:lang w:val="ru-RU"/>
    </w:rPr>
  </w:style>
  <w:style w:type="character" w:customStyle="1" w:styleId="30">
    <w:name w:val="Заголовок 3 Знак"/>
    <w:qFormat/>
    <w:rPr>
      <w:rFonts w:ascii="Times New Roman" w:eastAsia="Times New Roman" w:hAnsi="Times New Roman" w:cs="Times New Roman"/>
      <w:bCs/>
      <w:sz w:val="20"/>
      <w:lang w:val="ru-RU"/>
    </w:rPr>
  </w:style>
  <w:style w:type="character" w:customStyle="1" w:styleId="40">
    <w:name w:val="Заголовок 4 Знак"/>
    <w:qFormat/>
    <w:rPr>
      <w:rFonts w:ascii="Times New Roman" w:eastAsia="Times New Roman" w:hAnsi="Times New Roman" w:cs="Times New Roman"/>
      <w:bCs/>
      <w:iCs/>
      <w:sz w:val="20"/>
      <w:lang w:val="ru-RU"/>
    </w:rPr>
  </w:style>
  <w:style w:type="character" w:customStyle="1" w:styleId="50">
    <w:name w:val="Заголовок 5 Знак"/>
    <w:qFormat/>
    <w:rPr>
      <w:rFonts w:ascii="Cambria" w:eastAsia="Times New Roman" w:hAnsi="Cambria" w:cs="Times New Roman"/>
      <w:sz w:val="20"/>
      <w:lang w:val="ru-RU"/>
    </w:rPr>
  </w:style>
  <w:style w:type="character" w:customStyle="1" w:styleId="60">
    <w:name w:val="Заголовок 6 Знак"/>
    <w:qFormat/>
    <w:rPr>
      <w:rFonts w:ascii="Cambria" w:eastAsia="Times New Roman" w:hAnsi="Cambria" w:cs="Times New Roman"/>
      <w:i/>
      <w:iCs/>
      <w:color w:val="243F60"/>
      <w:sz w:val="20"/>
      <w:lang w:val="ru-RU"/>
    </w:rPr>
  </w:style>
  <w:style w:type="character" w:customStyle="1" w:styleId="70">
    <w:name w:val="Заголовок 7 Знак"/>
    <w:qFormat/>
    <w:rPr>
      <w:rFonts w:ascii="Cambria" w:eastAsia="Times New Roman" w:hAnsi="Cambria" w:cs="Times New Roman"/>
      <w:i/>
      <w:iCs/>
      <w:color w:val="404040"/>
      <w:sz w:val="20"/>
      <w:lang w:val="ru-RU"/>
    </w:rPr>
  </w:style>
  <w:style w:type="character" w:customStyle="1" w:styleId="80">
    <w:name w:val="Заголовок 8 Знак"/>
    <w:qFormat/>
    <w:rPr>
      <w:rFonts w:ascii="Cambria" w:eastAsia="Times New Roman" w:hAnsi="Cambria" w:cs="Times New Roman"/>
      <w:color w:val="4F81BD"/>
      <w:sz w:val="20"/>
      <w:szCs w:val="20"/>
      <w:lang w:val="ru-RU"/>
    </w:rPr>
  </w:style>
  <w:style w:type="character" w:customStyle="1" w:styleId="90">
    <w:name w:val="Заголовок 9 Знак"/>
    <w:qFormat/>
    <w:rPr>
      <w:rFonts w:ascii="Cambria" w:eastAsia="Times New Roman" w:hAnsi="Cambria" w:cs="Times New Roman"/>
      <w:i/>
      <w:iCs/>
      <w:color w:val="404040"/>
      <w:sz w:val="20"/>
      <w:szCs w:val="20"/>
      <w:lang w:val="ru-RU"/>
    </w:rPr>
  </w:style>
  <w:style w:type="character" w:customStyle="1" w:styleId="a3">
    <w:name w:val="Заголовок Знак"/>
    <w:qFormat/>
    <w:rPr>
      <w:rFonts w:ascii="Times New Roman" w:eastAsia="Times New Roman" w:hAnsi="Times New Roman" w:cs="Times New Roman"/>
      <w:b/>
      <w:spacing w:val="5"/>
      <w:sz w:val="28"/>
      <w:szCs w:val="52"/>
    </w:rPr>
  </w:style>
  <w:style w:type="character" w:customStyle="1" w:styleId="a4">
    <w:name w:val="Подзаголовок Знак"/>
    <w:qFormat/>
    <w:rPr>
      <w:rFonts w:ascii="Cambria" w:eastAsia="Times New Roman" w:hAnsi="Cambria" w:cs="Times New Roman"/>
      <w:i/>
      <w:iCs/>
      <w:color w:val="4F81BD"/>
      <w:spacing w:val="15"/>
      <w:sz w:val="24"/>
      <w:szCs w:val="24"/>
    </w:rPr>
  </w:style>
  <w:style w:type="character" w:styleId="a5">
    <w:name w:val="Strong"/>
    <w:qFormat/>
    <w:rPr>
      <w:b/>
      <w:bCs/>
    </w:rPr>
  </w:style>
  <w:style w:type="character" w:styleId="a6">
    <w:name w:val="Emphasis"/>
    <w:qFormat/>
    <w:rPr>
      <w:i/>
      <w:iCs/>
    </w:rPr>
  </w:style>
  <w:style w:type="character" w:customStyle="1" w:styleId="DeletedPlaceholder">
    <w:name w:val="DeletedPlaceholder Знак"/>
    <w:qFormat/>
    <w:rPr>
      <w:rFonts w:ascii="Times New Roman" w:hAnsi="Times New Roman" w:cs="Times New Roman"/>
      <w:i/>
      <w:iCs/>
      <w:color w:val="FF3F1F"/>
    </w:rPr>
  </w:style>
  <w:style w:type="character" w:customStyle="1" w:styleId="21">
    <w:name w:val="Цитата 2 Знак"/>
    <w:qFormat/>
    <w:rPr>
      <w:i/>
      <w:iCs/>
      <w:color w:val="000000"/>
    </w:rPr>
  </w:style>
  <w:style w:type="character" w:customStyle="1" w:styleId="a7">
    <w:name w:val="Выделенная цитата Знак"/>
    <w:qFormat/>
    <w:rPr>
      <w:b/>
      <w:bCs/>
      <w:i/>
      <w:iCs/>
      <w:color w:val="4F81BD"/>
    </w:rPr>
  </w:style>
  <w:style w:type="character" w:styleId="a8">
    <w:name w:val="Subtle Emphasis"/>
    <w:qFormat/>
    <w:rPr>
      <w:i/>
      <w:iCs/>
      <w:color w:val="808080"/>
    </w:rPr>
  </w:style>
  <w:style w:type="character" w:styleId="a9">
    <w:name w:val="Intense Emphasis"/>
    <w:qFormat/>
    <w:rPr>
      <w:b/>
      <w:bCs/>
      <w:i/>
      <w:iCs/>
      <w:color w:val="4F81BD"/>
    </w:rPr>
  </w:style>
  <w:style w:type="character" w:styleId="aa">
    <w:name w:val="Subtle Reference"/>
    <w:qFormat/>
    <w:rPr>
      <w:smallCaps/>
      <w:color w:val="C0504D"/>
      <w:u w:val="single"/>
    </w:rPr>
  </w:style>
  <w:style w:type="character" w:styleId="ab">
    <w:name w:val="Intense Reference"/>
    <w:qFormat/>
    <w:rPr>
      <w:b/>
      <w:bCs/>
      <w:smallCaps/>
      <w:color w:val="C0504D"/>
      <w:spacing w:val="5"/>
      <w:u w:val="single"/>
    </w:rPr>
  </w:style>
  <w:style w:type="character" w:styleId="ac">
    <w:name w:val="Book Title"/>
    <w:qFormat/>
    <w:rPr>
      <w:b/>
      <w:bCs/>
      <w:smallCaps/>
      <w:spacing w:val="5"/>
    </w:rPr>
  </w:style>
  <w:style w:type="character" w:customStyle="1" w:styleId="ad">
    <w:name w:val="Схема документа Знак"/>
    <w:qFormat/>
    <w:rPr>
      <w:rFonts w:ascii="Tahoma" w:hAnsi="Tahoma" w:cs="Tahoma"/>
      <w:sz w:val="16"/>
      <w:szCs w:val="16"/>
    </w:rPr>
  </w:style>
  <w:style w:type="character" w:customStyle="1" w:styleId="ae">
    <w:name w:val="Верхний колонтитул Знак"/>
    <w:qFormat/>
    <w:rPr>
      <w:rFonts w:ascii="Times New Roman" w:hAnsi="Times New Roman" w:cs="Times New Roman"/>
      <w:sz w:val="16"/>
      <w:lang w:val="ru-RU"/>
    </w:rPr>
  </w:style>
  <w:style w:type="character" w:customStyle="1" w:styleId="af">
    <w:name w:val="Нижний колонтитул Знак"/>
    <w:qFormat/>
    <w:rPr>
      <w:rFonts w:ascii="Times New Roman" w:hAnsi="Times New Roman" w:cs="Times New Roman"/>
      <w:sz w:val="16"/>
      <w:lang w:val="ru-RU"/>
    </w:rPr>
  </w:style>
  <w:style w:type="character" w:customStyle="1" w:styleId="user">
    <w:name w:val="Символ сноски (user)"/>
    <w:qFormat/>
    <w:rPr>
      <w:vertAlign w:val="superscript"/>
    </w:rPr>
  </w:style>
  <w:style w:type="character" w:styleId="af0">
    <w:name w:val="Hyperlink"/>
    <w:rPr>
      <w:color w:val="0000FF"/>
      <w:u w:val="single"/>
    </w:rPr>
  </w:style>
  <w:style w:type="character" w:customStyle="1" w:styleId="af1">
    <w:name w:val="Текст выноски Знак"/>
    <w:qFormat/>
    <w:rPr>
      <w:rFonts w:ascii="Segoe UI" w:hAnsi="Segoe UI" w:cs="Segoe UI"/>
      <w:sz w:val="18"/>
      <w:szCs w:val="18"/>
    </w:rPr>
  </w:style>
  <w:style w:type="character" w:customStyle="1" w:styleId="FootnoteReference1">
    <w:name w:val="Footnote Reference1"/>
    <w:qFormat/>
    <w:rPr>
      <w:vertAlign w:val="superscript"/>
    </w:rPr>
  </w:style>
  <w:style w:type="character" w:customStyle="1" w:styleId="user0">
    <w:name w:val="Символ концевой сноски (user)"/>
    <w:qFormat/>
    <w:rPr>
      <w:vertAlign w:val="superscript"/>
    </w:rPr>
  </w:style>
  <w:style w:type="character" w:customStyle="1" w:styleId="WW-">
    <w:name w:val="WW-Символ концевой сноски"/>
    <w:qFormat/>
  </w:style>
  <w:style w:type="character" w:customStyle="1" w:styleId="FootnoteReference2">
    <w:name w:val="Footnote Reference2"/>
    <w:qFormat/>
    <w:rPr>
      <w:vertAlign w:val="superscript"/>
    </w:rPr>
  </w:style>
  <w:style w:type="character" w:customStyle="1" w:styleId="EndnoteReference1">
    <w:name w:val="Endnote Reference1"/>
    <w:qFormat/>
    <w:rPr>
      <w:vertAlign w:val="superscript"/>
    </w:rPr>
  </w:style>
  <w:style w:type="character" w:customStyle="1" w:styleId="FootnoteReference3">
    <w:name w:val="Footnote Reference3"/>
    <w:qFormat/>
    <w:rPr>
      <w:vertAlign w:val="superscript"/>
    </w:rPr>
  </w:style>
  <w:style w:type="character" w:customStyle="1" w:styleId="EndnoteReference2">
    <w:name w:val="Endnote Reference2"/>
    <w:qFormat/>
    <w:rPr>
      <w:vertAlign w:val="superscript"/>
    </w:rPr>
  </w:style>
  <w:style w:type="character" w:customStyle="1" w:styleId="af2">
    <w:name w:val="Символ сноски"/>
    <w:qFormat/>
    <w:rPr>
      <w:vertAlign w:val="superscript"/>
    </w:rPr>
  </w:style>
  <w:style w:type="character" w:styleId="af3">
    <w:name w:val="footnote reference"/>
    <w:rPr>
      <w:vertAlign w:val="superscript"/>
    </w:rPr>
  </w:style>
  <w:style w:type="character" w:customStyle="1" w:styleId="af4">
    <w:name w:val="Символ концевой сноски"/>
    <w:qFormat/>
    <w:rPr>
      <w:vertAlign w:val="superscript"/>
    </w:rPr>
  </w:style>
  <w:style w:type="character" w:styleId="af5">
    <w:name w:val="endnote reference"/>
    <w:rPr>
      <w:vertAlign w:val="superscript"/>
    </w:rPr>
  </w:style>
  <w:style w:type="paragraph" w:styleId="af6">
    <w:name w:val="Title"/>
    <w:basedOn w:val="a"/>
    <w:next w:val="af7"/>
    <w:uiPriority w:val="10"/>
    <w:qFormat/>
    <w:pPr>
      <w:spacing w:before="300" w:after="200"/>
      <w:contextualSpacing/>
    </w:pPr>
    <w:rPr>
      <w:sz w:val="48"/>
      <w:szCs w:val="48"/>
    </w:rPr>
  </w:style>
  <w:style w:type="paragraph" w:styleId="af7">
    <w:name w:val="Body Text"/>
    <w:basedOn w:val="a"/>
    <w:pPr>
      <w:spacing w:before="0" w:after="140"/>
    </w:pPr>
  </w:style>
  <w:style w:type="paragraph" w:styleId="af8">
    <w:name w:val="List"/>
    <w:basedOn w:val="af7"/>
    <w:rPr>
      <w:rFonts w:ascii="PT Astra Serif" w:hAnsi="PT Astra Serif" w:cs="Noto Sans Devanagari"/>
    </w:rPr>
  </w:style>
  <w:style w:type="paragraph" w:styleId="af9">
    <w:name w:val="caption"/>
    <w:basedOn w:val="a"/>
    <w:qFormat/>
    <w:pPr>
      <w:spacing w:line="240" w:lineRule="auto"/>
    </w:pPr>
    <w:rPr>
      <w:b/>
      <w:bCs/>
      <w:color w:val="4F81BD"/>
      <w:sz w:val="18"/>
      <w:szCs w:val="18"/>
    </w:rPr>
  </w:style>
  <w:style w:type="paragraph" w:styleId="afa">
    <w:name w:val="index heading"/>
    <w:basedOn w:val="user1"/>
    <w:pPr>
      <w:suppressLineNumbers/>
    </w:pPr>
    <w:rPr>
      <w:bCs/>
      <w:sz w:val="32"/>
      <w:szCs w:val="32"/>
    </w:rPr>
  </w:style>
  <w:style w:type="paragraph" w:customStyle="1" w:styleId="user1">
    <w:name w:val="Заголовок (user)"/>
    <w:basedOn w:val="a"/>
    <w:next w:val="af7"/>
    <w:qFormat/>
    <w:pPr>
      <w:keepNext/>
      <w:keepLines/>
      <w:spacing w:after="300" w:line="240" w:lineRule="auto"/>
      <w:ind w:firstLine="0"/>
      <w:contextualSpacing/>
      <w:jc w:val="center"/>
      <w:outlineLvl w:val="0"/>
    </w:pPr>
    <w:rPr>
      <w:b/>
      <w:spacing w:val="5"/>
      <w:sz w:val="28"/>
      <w:szCs w:val="52"/>
    </w:rPr>
  </w:style>
  <w:style w:type="paragraph" w:customStyle="1" w:styleId="user2">
    <w:name w:val="Указатель (user)"/>
    <w:basedOn w:val="a"/>
    <w:qFormat/>
    <w:pPr>
      <w:suppressLineNumbers/>
    </w:pPr>
    <w:rPr>
      <w:rFonts w:ascii="PT Astra Serif" w:hAnsi="PT Astra Serif" w:cs="Noto Sans Devanagari"/>
    </w:rPr>
  </w:style>
  <w:style w:type="paragraph" w:styleId="afb">
    <w:name w:val="List Paragraph"/>
    <w:basedOn w:val="a"/>
    <w:qFormat/>
    <w:pPr>
      <w:contextualSpacing/>
      <w:jc w:val="left"/>
    </w:pPr>
  </w:style>
  <w:style w:type="paragraph" w:styleId="afc">
    <w:name w:val="No Spacing"/>
    <w:qFormat/>
    <w:rPr>
      <w:rFonts w:ascii="Calibri" w:eastAsia="Times New Roman" w:hAnsi="Calibri" w:cs="Times New Roman"/>
      <w:sz w:val="22"/>
      <w:szCs w:val="22"/>
      <w:lang w:bidi="ar-SA"/>
    </w:rPr>
  </w:style>
  <w:style w:type="paragraph" w:styleId="22">
    <w:name w:val="Quote"/>
    <w:basedOn w:val="a"/>
    <w:qFormat/>
    <w:pPr>
      <w:pBdr>
        <w:left w:val="single" w:sz="24" w:space="10" w:color="999999"/>
      </w:pBdr>
      <w:spacing w:after="0"/>
      <w:ind w:left="964" w:firstLine="0"/>
    </w:pPr>
    <w:rPr>
      <w:i/>
      <w:iCs/>
      <w:color w:val="8064A2"/>
    </w:rPr>
  </w:style>
  <w:style w:type="paragraph" w:styleId="afd">
    <w:name w:val="Intense Quote"/>
    <w:basedOn w:val="a"/>
    <w:qFormat/>
    <w:pPr>
      <w:pBdr>
        <w:bottom w:val="single" w:sz="4" w:space="4" w:color="4F81BD"/>
      </w:pBdr>
      <w:spacing w:before="200" w:after="0"/>
      <w:ind w:left="936" w:right="936"/>
    </w:pPr>
    <w:rPr>
      <w:b/>
      <w:bCs/>
      <w:i/>
      <w:iCs/>
      <w:color w:val="4F81BD"/>
    </w:rPr>
  </w:style>
  <w:style w:type="paragraph" w:styleId="afe">
    <w:name w:val="endnote text"/>
    <w:basedOn w:val="a"/>
    <w:uiPriority w:val="99"/>
    <w:semiHidden/>
    <w:unhideWhenUsed/>
    <w:pPr>
      <w:spacing w:before="0" w:after="0" w:line="240" w:lineRule="auto"/>
    </w:pPr>
    <w:rPr>
      <w:sz w:val="20"/>
    </w:rPr>
  </w:style>
  <w:style w:type="paragraph" w:styleId="11">
    <w:name w:val="toc 1"/>
    <w:basedOn w:val="a"/>
    <w:uiPriority w:val="39"/>
    <w:unhideWhenUsed/>
    <w:pPr>
      <w:spacing w:before="0" w:after="57"/>
      <w:ind w:firstLine="0"/>
    </w:pPr>
  </w:style>
  <w:style w:type="paragraph" w:styleId="23">
    <w:name w:val="toc 2"/>
    <w:basedOn w:val="a"/>
    <w:uiPriority w:val="39"/>
    <w:unhideWhenUsed/>
    <w:pPr>
      <w:spacing w:before="0" w:after="57"/>
      <w:ind w:left="283" w:firstLine="0"/>
    </w:pPr>
  </w:style>
  <w:style w:type="paragraph" w:styleId="31">
    <w:name w:val="toc 3"/>
    <w:basedOn w:val="a"/>
    <w:uiPriority w:val="39"/>
    <w:unhideWhenUsed/>
    <w:pPr>
      <w:spacing w:before="0" w:after="57"/>
      <w:ind w:left="567" w:firstLine="0"/>
    </w:pPr>
  </w:style>
  <w:style w:type="paragraph" w:styleId="41">
    <w:name w:val="toc 4"/>
    <w:basedOn w:val="a"/>
    <w:uiPriority w:val="39"/>
    <w:unhideWhenUsed/>
    <w:pPr>
      <w:spacing w:before="0" w:after="57"/>
      <w:ind w:left="850" w:firstLine="0"/>
    </w:pPr>
  </w:style>
  <w:style w:type="paragraph" w:styleId="51">
    <w:name w:val="toc 5"/>
    <w:basedOn w:val="a"/>
    <w:uiPriority w:val="39"/>
    <w:unhideWhenUsed/>
    <w:pPr>
      <w:spacing w:before="0" w:after="57"/>
      <w:ind w:left="1134" w:firstLine="0"/>
    </w:pPr>
  </w:style>
  <w:style w:type="paragraph" w:styleId="61">
    <w:name w:val="toc 6"/>
    <w:basedOn w:val="a"/>
    <w:uiPriority w:val="39"/>
    <w:unhideWhenUsed/>
    <w:pPr>
      <w:spacing w:before="0" w:after="57"/>
      <w:ind w:left="1417" w:firstLine="0"/>
    </w:pPr>
  </w:style>
  <w:style w:type="paragraph" w:styleId="71">
    <w:name w:val="toc 7"/>
    <w:basedOn w:val="a"/>
    <w:uiPriority w:val="39"/>
    <w:unhideWhenUsed/>
    <w:pPr>
      <w:spacing w:before="0" w:after="57"/>
      <w:ind w:left="1701" w:firstLine="0"/>
    </w:pPr>
  </w:style>
  <w:style w:type="paragraph" w:styleId="81">
    <w:name w:val="toc 8"/>
    <w:basedOn w:val="a"/>
    <w:uiPriority w:val="39"/>
    <w:unhideWhenUsed/>
    <w:pPr>
      <w:spacing w:before="0" w:after="57"/>
      <w:ind w:left="1984" w:firstLine="0"/>
    </w:pPr>
  </w:style>
  <w:style w:type="paragraph" w:styleId="91">
    <w:name w:val="toc 9"/>
    <w:basedOn w:val="a"/>
    <w:uiPriority w:val="39"/>
    <w:unhideWhenUsed/>
    <w:pPr>
      <w:spacing w:before="0" w:after="57"/>
      <w:ind w:left="2268" w:firstLine="0"/>
    </w:pPr>
  </w:style>
  <w:style w:type="paragraph" w:styleId="aff">
    <w:name w:val="table of figures"/>
    <w:basedOn w:val="a"/>
    <w:uiPriority w:val="99"/>
    <w:unhideWhenUsed/>
    <w:pPr>
      <w:spacing w:before="0" w:after="0"/>
    </w:pPr>
  </w:style>
  <w:style w:type="paragraph" w:customStyle="1" w:styleId="Caption1">
    <w:name w:val="Caption1"/>
    <w:basedOn w:val="a"/>
    <w:qFormat/>
    <w:pPr>
      <w:suppressLineNumbers/>
    </w:pPr>
    <w:rPr>
      <w:rFonts w:ascii="PT Astra Serif" w:hAnsi="PT Astra Serif" w:cs="Noto Sans Devanagari"/>
      <w:i/>
      <w:iCs/>
      <w:sz w:val="24"/>
      <w:szCs w:val="24"/>
    </w:rPr>
  </w:style>
  <w:style w:type="paragraph" w:customStyle="1" w:styleId="Caption11">
    <w:name w:val="Caption11"/>
    <w:basedOn w:val="a"/>
    <w:qFormat/>
    <w:pPr>
      <w:suppressLineNumbers/>
    </w:pPr>
    <w:rPr>
      <w:rFonts w:ascii="PT Astra Serif" w:hAnsi="PT Astra Serif" w:cs="Noto Sans Devanagari"/>
      <w:i/>
      <w:iCs/>
      <w:sz w:val="24"/>
      <w:szCs w:val="24"/>
    </w:rPr>
  </w:style>
  <w:style w:type="paragraph" w:customStyle="1" w:styleId="Caption111">
    <w:name w:val="Caption111"/>
    <w:basedOn w:val="a"/>
    <w:qFormat/>
    <w:pPr>
      <w:suppressLineNumbers/>
    </w:pPr>
    <w:rPr>
      <w:rFonts w:ascii="PT Astra Serif" w:hAnsi="PT Astra Serif" w:cs="Noto Sans Devanagari"/>
      <w:i/>
      <w:iCs/>
      <w:sz w:val="24"/>
      <w:szCs w:val="24"/>
    </w:rPr>
  </w:style>
  <w:style w:type="paragraph" w:customStyle="1" w:styleId="Normalunindented">
    <w:name w:val="Normal unindented"/>
    <w:qFormat/>
    <w:pPr>
      <w:spacing w:before="120" w:after="120" w:line="276" w:lineRule="auto"/>
      <w:jc w:val="both"/>
    </w:pPr>
    <w:rPr>
      <w:rFonts w:eastAsia="Times New Roman" w:cs="Times New Roman"/>
      <w:sz w:val="22"/>
      <w:szCs w:val="22"/>
      <w:lang w:bidi="ar-SA"/>
    </w:rPr>
  </w:style>
  <w:style w:type="paragraph" w:customStyle="1" w:styleId="heading1unnumbered">
    <w:name w:val="heading 1 unnumbered"/>
    <w:basedOn w:val="a"/>
    <w:qFormat/>
    <w:pPr>
      <w:keepNext/>
      <w:keepLines/>
      <w:spacing w:before="240"/>
      <w:ind w:firstLine="0"/>
      <w:jc w:val="center"/>
      <w:outlineLvl w:val="0"/>
    </w:pPr>
    <w:rPr>
      <w:b/>
      <w:bCs/>
      <w:sz w:val="24"/>
      <w:szCs w:val="28"/>
    </w:rPr>
  </w:style>
  <w:style w:type="paragraph" w:customStyle="1" w:styleId="heading1normal">
    <w:name w:val="heading 1 normal"/>
    <w:basedOn w:val="a"/>
    <w:qFormat/>
    <w:pPr>
      <w:numPr>
        <w:numId w:val="1"/>
      </w:numPr>
      <w:ind w:firstLine="482"/>
      <w:outlineLvl w:val="0"/>
    </w:pPr>
  </w:style>
  <w:style w:type="paragraph" w:customStyle="1" w:styleId="heading1normalunnumbered">
    <w:name w:val="heading 1 normal unnumbered"/>
    <w:basedOn w:val="a"/>
    <w:qFormat/>
    <w:pPr>
      <w:outlineLvl w:val="0"/>
    </w:pPr>
  </w:style>
  <w:style w:type="paragraph" w:customStyle="1" w:styleId="heading2normal">
    <w:name w:val="heading 2 normal"/>
    <w:basedOn w:val="a"/>
    <w:qFormat/>
    <w:pPr>
      <w:tabs>
        <w:tab w:val="num" w:pos="0"/>
      </w:tabs>
      <w:outlineLvl w:val="1"/>
    </w:pPr>
  </w:style>
  <w:style w:type="paragraph" w:customStyle="1" w:styleId="heading3normal">
    <w:name w:val="heading 3 normal"/>
    <w:basedOn w:val="a"/>
    <w:qFormat/>
    <w:pPr>
      <w:tabs>
        <w:tab w:val="num" w:pos="0"/>
      </w:tabs>
      <w:outlineLvl w:val="2"/>
    </w:pPr>
  </w:style>
  <w:style w:type="paragraph" w:customStyle="1" w:styleId="heading4normal">
    <w:name w:val="heading 4 normal"/>
    <w:basedOn w:val="a"/>
    <w:qFormat/>
    <w:pPr>
      <w:tabs>
        <w:tab w:val="num" w:pos="0"/>
      </w:tabs>
      <w:outlineLvl w:val="3"/>
    </w:pPr>
  </w:style>
  <w:style w:type="paragraph" w:customStyle="1" w:styleId="heading5normal">
    <w:name w:val="heading 5 normal"/>
    <w:basedOn w:val="a"/>
    <w:qFormat/>
    <w:pPr>
      <w:tabs>
        <w:tab w:val="num" w:pos="0"/>
      </w:tabs>
      <w:outlineLvl w:val="4"/>
    </w:pPr>
  </w:style>
  <w:style w:type="paragraph" w:customStyle="1" w:styleId="heading6normal">
    <w:name w:val="heading 6 normal"/>
    <w:basedOn w:val="a"/>
    <w:qFormat/>
    <w:pPr>
      <w:tabs>
        <w:tab w:val="num" w:pos="0"/>
      </w:tabs>
      <w:outlineLvl w:val="5"/>
    </w:pPr>
  </w:style>
  <w:style w:type="paragraph" w:customStyle="1" w:styleId="heading7normal">
    <w:name w:val="heading 7 normal"/>
    <w:basedOn w:val="a"/>
    <w:qFormat/>
    <w:pPr>
      <w:tabs>
        <w:tab w:val="num" w:pos="0"/>
      </w:tabs>
      <w:outlineLvl w:val="6"/>
    </w:pPr>
  </w:style>
  <w:style w:type="paragraph" w:customStyle="1" w:styleId="heading8normal">
    <w:name w:val="heading 8 normal"/>
    <w:basedOn w:val="a"/>
    <w:qFormat/>
    <w:pPr>
      <w:tabs>
        <w:tab w:val="num" w:pos="0"/>
      </w:tabs>
      <w:outlineLvl w:val="7"/>
    </w:pPr>
  </w:style>
  <w:style w:type="paragraph" w:customStyle="1" w:styleId="heading9normal">
    <w:name w:val="heading 9 normal"/>
    <w:basedOn w:val="a"/>
    <w:qFormat/>
    <w:pPr>
      <w:tabs>
        <w:tab w:val="num" w:pos="0"/>
      </w:tabs>
      <w:outlineLvl w:val="8"/>
    </w:pPr>
  </w:style>
  <w:style w:type="paragraph" w:styleId="aff0">
    <w:name w:val="Subtitle"/>
    <w:basedOn w:val="a"/>
    <w:qFormat/>
    <w:rPr>
      <w:rFonts w:ascii="Cambria" w:hAnsi="Cambria"/>
      <w:i/>
      <w:iCs/>
      <w:color w:val="4F81BD"/>
      <w:spacing w:val="15"/>
      <w:sz w:val="24"/>
      <w:szCs w:val="24"/>
    </w:rPr>
  </w:style>
  <w:style w:type="paragraph" w:customStyle="1" w:styleId="DeletedPlaceholder0">
    <w:name w:val="DeletedPlaceholder"/>
    <w:basedOn w:val="a"/>
    <w:qFormat/>
    <w:pPr>
      <w:pBdr>
        <w:left w:val="single" w:sz="24" w:space="10" w:color="999999"/>
      </w:pBdr>
      <w:spacing w:after="0"/>
      <w:ind w:left="964" w:firstLine="0"/>
    </w:pPr>
    <w:rPr>
      <w:i/>
      <w:iCs/>
      <w:color w:val="FF3F1F"/>
    </w:rPr>
  </w:style>
  <w:style w:type="paragraph" w:customStyle="1" w:styleId="Warning">
    <w:name w:val="Warning"/>
    <w:basedOn w:val="a"/>
    <w:qFormat/>
    <w:pPr>
      <w:pBdr>
        <w:left w:val="single" w:sz="24" w:space="10" w:color="999999"/>
      </w:pBdr>
      <w:spacing w:after="0"/>
      <w:ind w:left="964" w:firstLine="0"/>
    </w:pPr>
    <w:rPr>
      <w:i/>
      <w:iCs/>
      <w:color w:val="E36C0A"/>
    </w:rPr>
  </w:style>
  <w:style w:type="paragraph" w:customStyle="1" w:styleId="QuoteMargin">
    <w:name w:val="QuoteMargin"/>
    <w:qFormat/>
    <w:pPr>
      <w:spacing w:before="120" w:line="276" w:lineRule="auto"/>
      <w:ind w:firstLine="482"/>
      <w:jc w:val="both"/>
    </w:pPr>
    <w:rPr>
      <w:rFonts w:eastAsia="Times New Roman" w:cs="Times New Roman"/>
      <w:sz w:val="22"/>
      <w:szCs w:val="22"/>
      <w:lang w:bidi="ar-SA"/>
    </w:rPr>
  </w:style>
  <w:style w:type="paragraph" w:styleId="aff1">
    <w:name w:val="TOC Heading"/>
    <w:basedOn w:val="1"/>
    <w:qFormat/>
    <w:pPr>
      <w:outlineLvl w:val="9"/>
    </w:pPr>
  </w:style>
  <w:style w:type="paragraph" w:styleId="aff2">
    <w:name w:val="Document Map"/>
    <w:basedOn w:val="a"/>
    <w:qFormat/>
    <w:pPr>
      <w:spacing w:after="0" w:line="240" w:lineRule="auto"/>
    </w:pPr>
    <w:rPr>
      <w:rFonts w:ascii="Tahoma" w:hAnsi="Tahoma" w:cs="Tahoma"/>
      <w:sz w:val="16"/>
      <w:szCs w:val="16"/>
    </w:rPr>
  </w:style>
  <w:style w:type="paragraph" w:customStyle="1" w:styleId="aff3">
    <w:name w:val="Колонтитул"/>
    <w:basedOn w:val="a"/>
    <w:qFormat/>
    <w:pPr>
      <w:suppressLineNumbers/>
      <w:tabs>
        <w:tab w:val="center" w:pos="4819"/>
        <w:tab w:val="right" w:pos="9638"/>
      </w:tabs>
    </w:pPr>
  </w:style>
  <w:style w:type="paragraph" w:customStyle="1" w:styleId="aff4">
    <w:name w:val="Колонтитулы"/>
    <w:basedOn w:val="a"/>
    <w:qFormat/>
  </w:style>
  <w:style w:type="paragraph" w:styleId="aff5">
    <w:name w:val="header"/>
    <w:basedOn w:val="a"/>
    <w:pPr>
      <w:tabs>
        <w:tab w:val="center" w:pos="4677"/>
        <w:tab w:val="right" w:pos="9355"/>
      </w:tabs>
      <w:spacing w:before="0" w:after="0" w:line="240" w:lineRule="auto"/>
      <w:jc w:val="center"/>
    </w:pPr>
    <w:rPr>
      <w:sz w:val="16"/>
      <w:szCs w:val="20"/>
    </w:rPr>
  </w:style>
  <w:style w:type="paragraph" w:styleId="aff6">
    <w:name w:val="footer"/>
    <w:basedOn w:val="a"/>
    <w:pPr>
      <w:tabs>
        <w:tab w:val="center" w:pos="4677"/>
        <w:tab w:val="right" w:pos="9355"/>
      </w:tabs>
      <w:spacing w:before="0" w:after="0" w:line="240" w:lineRule="auto"/>
      <w:jc w:val="center"/>
    </w:pPr>
    <w:rPr>
      <w:sz w:val="16"/>
      <w:szCs w:val="20"/>
    </w:rPr>
  </w:style>
  <w:style w:type="paragraph" w:styleId="aff7">
    <w:name w:val="footnote text"/>
    <w:basedOn w:val="a"/>
    <w:pPr>
      <w:spacing w:line="216" w:lineRule="auto"/>
    </w:pPr>
    <w:rPr>
      <w:sz w:val="20"/>
      <w:szCs w:val="20"/>
    </w:rPr>
  </w:style>
  <w:style w:type="paragraph" w:customStyle="1" w:styleId="footnotetextunindented">
    <w:name w:val="footnote text unindented"/>
    <w:basedOn w:val="Normalunindented"/>
    <w:qFormat/>
    <w:pPr>
      <w:spacing w:line="216" w:lineRule="auto"/>
    </w:pPr>
    <w:rPr>
      <w:sz w:val="20"/>
      <w:szCs w:val="20"/>
    </w:rPr>
  </w:style>
  <w:style w:type="paragraph" w:customStyle="1" w:styleId="listfootnotetext">
    <w:name w:val="list footnote text"/>
    <w:basedOn w:val="afb"/>
    <w:qFormat/>
    <w:pPr>
      <w:spacing w:line="216" w:lineRule="auto"/>
    </w:pPr>
    <w:rPr>
      <w:sz w:val="20"/>
      <w:szCs w:val="20"/>
    </w:rPr>
  </w:style>
  <w:style w:type="paragraph" w:customStyle="1" w:styleId="Normal1">
    <w:name w:val="Normal1"/>
    <w:qFormat/>
    <w:rPr>
      <w:rFonts w:ascii="Arial" w:eastAsia="Times New Roman" w:hAnsi="Arial" w:cs="Arial"/>
      <w:sz w:val="18"/>
      <w:lang w:bidi="ar-SA"/>
    </w:rPr>
  </w:style>
  <w:style w:type="paragraph" w:customStyle="1" w:styleId="24">
    <w:name w:val="Обычный2"/>
    <w:qFormat/>
    <w:rPr>
      <w:rFonts w:ascii="Arial" w:eastAsia="Times New Roman" w:hAnsi="Arial" w:cs="Arial"/>
      <w:sz w:val="18"/>
      <w:lang w:bidi="ar-SA"/>
    </w:rPr>
  </w:style>
  <w:style w:type="paragraph" w:styleId="aff8">
    <w:name w:val="Balloon Text"/>
    <w:basedOn w:val="a"/>
    <w:qFormat/>
    <w:pPr>
      <w:spacing w:before="0" w:after="0" w:line="240" w:lineRule="auto"/>
    </w:pPr>
    <w:rPr>
      <w:rFonts w:ascii="Segoe UI" w:hAnsi="Segoe UI" w:cs="Segoe UI"/>
      <w:sz w:val="18"/>
      <w:szCs w:val="18"/>
    </w:rPr>
  </w:style>
  <w:style w:type="paragraph" w:customStyle="1" w:styleId="12">
    <w:name w:val="Обычный1"/>
    <w:qFormat/>
    <w:rPr>
      <w:rFonts w:ascii="Arial" w:eastAsia="Times New Roman" w:hAnsi="Arial" w:cs="Arial"/>
      <w:sz w:val="18"/>
      <w:lang w:bidi="ar-SA"/>
    </w:rPr>
  </w:style>
  <w:style w:type="paragraph" w:customStyle="1" w:styleId="user3">
    <w:name w:val="Содержимое таблицы (user)"/>
    <w:basedOn w:val="a"/>
    <w:qFormat/>
    <w:pPr>
      <w:widowControl w:val="0"/>
      <w:suppressLineNumbers/>
    </w:pPr>
  </w:style>
  <w:style w:type="paragraph" w:customStyle="1" w:styleId="user4">
    <w:name w:val="Заголовок таблицы (user)"/>
    <w:basedOn w:val="user3"/>
    <w:qFormat/>
    <w:pPr>
      <w:jc w:val="center"/>
    </w:pPr>
    <w:rPr>
      <w:b/>
      <w:bCs/>
    </w:rPr>
  </w:style>
  <w:style w:type="paragraph" w:customStyle="1" w:styleId="user5">
    <w:name w:val="Содержимое врезки (user)"/>
    <w:basedOn w:val="a"/>
    <w:qFormat/>
  </w:style>
  <w:style w:type="paragraph" w:customStyle="1" w:styleId="user6">
    <w:name w:val="Верхний колонтитул слева (user)"/>
    <w:basedOn w:val="aff5"/>
    <w:qFormat/>
    <w:pPr>
      <w:suppressLineNumbers/>
      <w:tabs>
        <w:tab w:val="clear" w:pos="4677"/>
        <w:tab w:val="clear" w:pos="9355"/>
        <w:tab w:val="center" w:pos="4748"/>
        <w:tab w:val="right" w:pos="9496"/>
      </w:tabs>
    </w:pPr>
  </w:style>
  <w:style w:type="paragraph" w:customStyle="1" w:styleId="aff9">
    <w:name w:val="Содержимое врезки"/>
    <w:basedOn w:val="a"/>
    <w:qFormat/>
  </w:style>
  <w:style w:type="numbering" w:customStyle="1" w:styleId="affa">
    <w:name w:val="Без списка"/>
    <w:uiPriority w:val="99"/>
    <w:semiHidden/>
    <w:unhideWhenUsed/>
    <w:qFormat/>
  </w:style>
  <w:style w:type="table" w:styleId="affb">
    <w:name w:val="Table Grid"/>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3">
    <w:name w:val="Plain Table 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FFFFF" w:fill="FFFFFF" w:themeFill="text1" w:themeFillTint="00"/>
      </w:tcPr>
    </w:tblStylePr>
    <w:tblStylePr w:type="band1Horz">
      <w:tblPr/>
      <w:tcPr>
        <w:shd w:val="clear" w:color="FFFFFF" w:fill="FFFFFF" w:themeFill="text1" w:themeFillTint="00"/>
      </w:tcPr>
    </w:tblStylePr>
  </w:style>
  <w:style w:type="table" w:styleId="25">
    <w:name w:val="Plain Table 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uiPriority w:val="99"/>
    <w:tblPr>
      <w:tblStyleRowBandSize w:val="1"/>
      <w:tblStyleColBandSize w:val="1"/>
      <w:tblCellMar>
        <w:top w:w="0" w:type="dxa"/>
        <w:left w:w="0" w:type="dxa"/>
        <w:bottom w:w="0" w:type="dxa"/>
        <w:right w:w="0" w:type="dxa"/>
      </w:tblCellMar>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FFFFF" w:fill="FFFFFF" w:themeFill="text1" w:themeFillTint="00"/>
      </w:tcPr>
    </w:tblStylePr>
    <w:tblStylePr w:type="band1Horz">
      <w:rPr>
        <w:sz w:val="22"/>
      </w:rPr>
      <w:tblPr/>
      <w:tcPr>
        <w:shd w:val="clear" w:color="FFFFFF" w:fill="FFFFFF" w:themeFill="text1" w:themeFillTint="00"/>
      </w:tcPr>
    </w:tblStylePr>
  </w:style>
  <w:style w:type="table" w:styleId="42">
    <w:name w:val="Plain Table 4"/>
    <w:uiPriority w:val="99"/>
    <w:tblPr>
      <w:tblStyleRowBandSize w:val="1"/>
      <w:tblStyleColBandSize w:val="1"/>
      <w:tblCellMar>
        <w:top w:w="0" w:type="dxa"/>
        <w:left w:w="0" w:type="dxa"/>
        <w:bottom w:w="0" w:type="dxa"/>
        <w:right w:w="0" w:type="dxa"/>
      </w:tblCellMar>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FFFFF" w:fill="FFFFFF" w:themeFill="text1" w:themeFillTint="00"/>
      </w:tcPr>
    </w:tblStylePr>
    <w:tblStylePr w:type="band1Horz">
      <w:rPr>
        <w:sz w:val="22"/>
      </w:rPr>
      <w:tblPr/>
      <w:tcPr>
        <w:shd w:val="clear" w:color="FFFFFF" w:fill="FFFFFF" w:themeFill="text1" w:themeFillTint="00"/>
      </w:tcPr>
    </w:tblStylePr>
  </w:style>
  <w:style w:type="table" w:styleId="52">
    <w:name w:val="Plain Table 5"/>
    <w:uiPriority w:val="99"/>
    <w:tblPr>
      <w:tblStyleRowBandSize w:val="1"/>
      <w:tblStyleColBandSize w:val="1"/>
      <w:tblCellMar>
        <w:top w:w="0" w:type="dxa"/>
        <w:left w:w="0" w:type="dxa"/>
        <w:bottom w:w="0" w:type="dxa"/>
        <w:right w:w="0" w:type="dxa"/>
      </w:tblCellMar>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FFFFF" w:fill="FFFFFF" w:themeFill="text1" w:themeFillTint="00"/>
      </w:tcPr>
    </w:tblStylePr>
    <w:tblStylePr w:type="band1Horz">
      <w:rPr>
        <w:sz w:val="22"/>
      </w:rPr>
      <w:tblPr/>
      <w:tcPr>
        <w:shd w:val="clear" w:color="FFFFFF" w:fill="FFFFFF" w:themeFill="text1" w:themeFillTint="00"/>
      </w:tcPr>
    </w:tblStylePr>
  </w:style>
  <w:style w:type="table" w:styleId="-1">
    <w:name w:val="Grid Table 1 Light"/>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2">
    <w:name w:val="Grid Table 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2-Accent1">
    <w:name w:val="Grid Table 2 - Accent 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AE5F1" w:themeFill="accent1" w:themeFillTint="34"/>
      </w:tcPr>
    </w:tblStylePr>
    <w:tblStylePr w:type="band1Horz">
      <w:rPr>
        <w:sz w:val="22"/>
      </w:rPr>
      <w:tblPr/>
      <w:tcPr>
        <w:shd w:val="clear" w:color="FFFFFF" w:fill="DAE5F1" w:themeFill="accent1" w:themeFillTint="34"/>
      </w:tcPr>
    </w:tblStylePr>
  </w:style>
  <w:style w:type="table" w:customStyle="1" w:styleId="GridTable2-Accent2">
    <w:name w:val="Grid Table 2 - Accent 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2-Accent3">
    <w:name w:val="Grid Table 2 - Accent 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2-Accent4">
    <w:name w:val="Grid Table 2 - Accent 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2-Accent5">
    <w:name w:val="Grid Table 2 - Accent 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2-Accent6">
    <w:name w:val="Grid Table 2 - Accent 6"/>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styleId="-3">
    <w:name w:val="Grid Table 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3-Accent1">
    <w:name w:val="Grid Table 3 - Accent 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AE5F1" w:themeFill="accent1" w:themeFillTint="34"/>
      </w:tcPr>
    </w:tblStylePr>
    <w:tblStylePr w:type="band1Horz">
      <w:rPr>
        <w:sz w:val="22"/>
      </w:rPr>
      <w:tblPr/>
      <w:tcPr>
        <w:shd w:val="clear" w:color="FFFFFF" w:fill="DAE5F1" w:themeFill="accent1" w:themeFillTint="34"/>
      </w:tcPr>
    </w:tblStylePr>
  </w:style>
  <w:style w:type="table" w:customStyle="1" w:styleId="GridTable3-Accent2">
    <w:name w:val="Grid Table 3 - Accent 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3-Accent3">
    <w:name w:val="Grid Table 3 - Accent 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3-Accent4">
    <w:name w:val="Grid Table 3 - Accent 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3-Accent5">
    <w:name w:val="Grid Table 3 - Accent 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3-Accent6">
    <w:name w:val="Grid Table 3 - Accent 6"/>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styleId="-4">
    <w:name w:val="Grid Table 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4-Accent1">
    <w:name w:val="Grid Table 4 - Accent 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FFFFFF"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FFFFFF" w:fill="DCE6F2" w:themeFill="accent1" w:themeFillTint="32"/>
      </w:tcPr>
    </w:tblStylePr>
    <w:tblStylePr w:type="band1Horz">
      <w:rPr>
        <w:sz w:val="22"/>
      </w:rPr>
      <w:tblPr/>
      <w:tcPr>
        <w:shd w:val="clear" w:color="FFFFFF" w:fill="DCE6F2" w:themeFill="accent1" w:themeFillTint="32"/>
      </w:tcPr>
    </w:tblStylePr>
  </w:style>
  <w:style w:type="table" w:customStyle="1" w:styleId="GridTable4-Accent2">
    <w:name w:val="Grid Table 4 - Accent 2"/>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FFFFFF"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4-Accent3">
    <w:name w:val="Grid Table 4 - Accent 3"/>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FFFFFF"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4-Accent4">
    <w:name w:val="Grid Table 4 - Accent 4"/>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FFFFFF"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4-Accent5">
    <w:name w:val="Grid Table 4 - Accent 5"/>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4-Accent6">
    <w:name w:val="Grid Table 4 - Accent 6"/>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styleId="-5">
    <w:name w:val="Grid Table 5 Dark"/>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FFFFFF" w:fill="000000" w:themeFill="text1"/>
      </w:tcPr>
    </w:tblStylePr>
    <w:tblStylePr w:type="lastRow">
      <w:rPr>
        <w:b/>
        <w:sz w:val="22"/>
      </w:rPr>
      <w:tblPr/>
      <w:tcPr>
        <w:tcBorders>
          <w:top w:val="single" w:sz="4" w:space="0" w:color="FFFFFF" w:themeColor="light1"/>
        </w:tcBorders>
        <w:shd w:val="clear" w:color="FFFFFF" w:fill="000000" w:themeFill="text1"/>
      </w:tcPr>
    </w:tblStylePr>
    <w:tblStylePr w:type="firstCol">
      <w:rPr>
        <w:b/>
        <w:sz w:val="22"/>
      </w:rPr>
      <w:tblPr/>
      <w:tcPr>
        <w:shd w:val="clear" w:color="FFFFFF" w:fill="000000" w:themeFill="text1"/>
      </w:tcPr>
    </w:tblStylePr>
    <w:tblStylePr w:type="lastCol">
      <w:rPr>
        <w:b/>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FFFFFF" w:fill="4F81BD" w:themeFill="accent1"/>
      </w:tcPr>
    </w:tblStylePr>
    <w:tblStylePr w:type="lastRow">
      <w:rPr>
        <w:b/>
        <w:sz w:val="22"/>
      </w:rPr>
      <w:tblPr/>
      <w:tcPr>
        <w:tcBorders>
          <w:top w:val="single" w:sz="4" w:space="0" w:color="FFFFFF" w:themeColor="light1"/>
        </w:tcBorders>
        <w:shd w:val="clear" w:color="FFFFFF" w:fill="4F81BD" w:themeFill="accent1"/>
      </w:tcPr>
    </w:tblStylePr>
    <w:tblStylePr w:type="firstCol">
      <w:rPr>
        <w:b/>
        <w:sz w:val="22"/>
      </w:rPr>
      <w:tblPr/>
      <w:tcPr>
        <w:shd w:val="clear" w:color="FFFFFF" w:fill="4F81BD" w:themeFill="accent1"/>
      </w:tcPr>
    </w:tblStylePr>
    <w:tblStylePr w:type="lastCol">
      <w:rPr>
        <w:b/>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FFFFFF" w:fill="C0504D" w:themeFill="accent2"/>
      </w:tcPr>
    </w:tblStylePr>
    <w:tblStylePr w:type="lastRow">
      <w:rPr>
        <w:b/>
        <w:sz w:val="22"/>
      </w:rPr>
      <w:tblPr/>
      <w:tcPr>
        <w:tcBorders>
          <w:top w:val="single" w:sz="4" w:space="0" w:color="FFFFFF" w:themeColor="light1"/>
        </w:tcBorders>
        <w:shd w:val="clear" w:color="FFFFFF" w:fill="C0504D" w:themeFill="accent2"/>
      </w:tcPr>
    </w:tblStylePr>
    <w:tblStylePr w:type="firstCol">
      <w:rPr>
        <w:b/>
        <w:sz w:val="22"/>
      </w:rPr>
      <w:tblPr/>
      <w:tcPr>
        <w:shd w:val="clear" w:color="FFFFFF" w:fill="C0504D" w:themeFill="accent2"/>
      </w:tcPr>
    </w:tblStylePr>
    <w:tblStylePr w:type="lastCol">
      <w:rPr>
        <w:b/>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FFFFFF" w:fill="9BBB59" w:themeFill="accent3"/>
      </w:tcPr>
    </w:tblStylePr>
    <w:tblStylePr w:type="lastRow">
      <w:rPr>
        <w:b/>
        <w:sz w:val="22"/>
      </w:rPr>
      <w:tblPr/>
      <w:tcPr>
        <w:tcBorders>
          <w:top w:val="single" w:sz="4" w:space="0" w:color="FFFFFF" w:themeColor="light1"/>
        </w:tcBorders>
        <w:shd w:val="clear" w:color="FFFFFF" w:fill="9BBB59" w:themeFill="accent3"/>
      </w:tcPr>
    </w:tblStylePr>
    <w:tblStylePr w:type="firstCol">
      <w:rPr>
        <w:b/>
        <w:sz w:val="22"/>
      </w:rPr>
      <w:tblPr/>
      <w:tcPr>
        <w:shd w:val="clear" w:color="FFFFFF" w:fill="9BBB59" w:themeFill="accent3"/>
      </w:tcPr>
    </w:tblStylePr>
    <w:tblStylePr w:type="lastCol">
      <w:rPr>
        <w:b/>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FFFFFF" w:fill="8064A2" w:themeFill="accent4"/>
      </w:tcPr>
    </w:tblStylePr>
    <w:tblStylePr w:type="lastRow">
      <w:rPr>
        <w:b/>
        <w:sz w:val="22"/>
      </w:rPr>
      <w:tblPr/>
      <w:tcPr>
        <w:tcBorders>
          <w:top w:val="single" w:sz="4" w:space="0" w:color="FFFFFF" w:themeColor="light1"/>
        </w:tcBorders>
        <w:shd w:val="clear" w:color="FFFFFF" w:fill="8064A2" w:themeFill="accent4"/>
      </w:tcPr>
    </w:tblStylePr>
    <w:tblStylePr w:type="firstCol">
      <w:rPr>
        <w:b/>
        <w:sz w:val="22"/>
      </w:rPr>
      <w:tblPr/>
      <w:tcPr>
        <w:shd w:val="clear" w:color="FFFFFF" w:fill="8064A2" w:themeFill="accent4"/>
      </w:tcPr>
    </w:tblStylePr>
    <w:tblStylePr w:type="lastCol">
      <w:rPr>
        <w:b/>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FFFFFF" w:fill="4BACC6" w:themeFill="accent5"/>
      </w:tcPr>
    </w:tblStylePr>
    <w:tblStylePr w:type="lastRow">
      <w:rPr>
        <w:b/>
        <w:sz w:val="22"/>
      </w:rPr>
      <w:tblPr/>
      <w:tcPr>
        <w:tcBorders>
          <w:top w:val="single" w:sz="4" w:space="0" w:color="FFFFFF" w:themeColor="light1"/>
        </w:tcBorders>
        <w:shd w:val="clear" w:color="FFFFFF" w:fill="4BACC6" w:themeFill="accent5"/>
      </w:tcPr>
    </w:tblStylePr>
    <w:tblStylePr w:type="firstCol">
      <w:rPr>
        <w:b/>
        <w:sz w:val="22"/>
      </w:rPr>
      <w:tblPr/>
      <w:tcPr>
        <w:shd w:val="clear" w:color="FFFFFF" w:fill="4BACC6" w:themeFill="accent5"/>
      </w:tcPr>
    </w:tblStylePr>
    <w:tblStylePr w:type="lastCol">
      <w:rPr>
        <w:b/>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FFFFFF" w:fill="F79646" w:themeFill="accent6"/>
      </w:tcPr>
    </w:tblStylePr>
    <w:tblStylePr w:type="lastRow">
      <w:rPr>
        <w:b/>
        <w:sz w:val="22"/>
      </w:rPr>
      <w:tblPr/>
      <w:tcPr>
        <w:tcBorders>
          <w:top w:val="single" w:sz="4" w:space="0" w:color="FFFFFF" w:themeColor="light1"/>
        </w:tcBorders>
        <w:shd w:val="clear" w:color="FFFFFF" w:fill="F79646" w:themeFill="accent6"/>
      </w:tcPr>
    </w:tblStylePr>
    <w:tblStylePr w:type="firstCol">
      <w:rPr>
        <w:b/>
        <w:sz w:val="22"/>
      </w:rPr>
      <w:tblPr/>
      <w:tcPr>
        <w:shd w:val="clear" w:color="FFFFFF" w:fill="F79646" w:themeFill="accent6"/>
      </w:tcPr>
    </w:tblStylePr>
    <w:tblStylePr w:type="lastCol">
      <w:rPr>
        <w:b/>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styleId="-6">
    <w:name w:val="Grid Table 6 Colorfu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color w:val="266779" w:themeColor="accent5" w:themeShade="95"/>
        <w:sz w:val="22"/>
      </w:rPr>
      <w:tblPr/>
      <w:tcPr>
        <w:shd w:val="clear" w:color="FFFFFF" w:fill="FDE9D8" w:themeFill="accent6" w:themeFillTint="34"/>
      </w:tcPr>
    </w:tblStylePr>
    <w:tblStylePr w:type="band2Horz">
      <w:rPr>
        <w:color w:val="266779" w:themeColor="accent5" w:themeShade="95"/>
        <w:sz w:val="22"/>
      </w:rPr>
    </w:tblStylePr>
  </w:style>
  <w:style w:type="table" w:styleId="-7">
    <w:name w:val="Grid Table 7 Colorfu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FFFFFF" w:themeFill="text1" w:themeFillTint="00"/>
      </w:tcPr>
    </w:tblStylePr>
    <w:tblStylePr w:type="band1Horz">
      <w:rPr>
        <w:color w:val="7F7F7F" w:themeColor="text1" w:themeTint="80" w:themeShade="95"/>
        <w:sz w:val="22"/>
      </w:rPr>
      <w:tblPr/>
      <w:tcPr>
        <w:shd w:val="clear" w:color="FFFFFF"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6BFDD" w:themeColor="accent1" w:themeTint="80"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ABB59" w:themeColor="accent3" w:themeTint="FE"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b/>
        <w:color w:val="266779" w:themeColor="accent5"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66779" w:themeColor="accent5"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266779" w:themeColor="accent5"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b/>
        <w:color w:val="B15407" w:themeColor="accent6"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15407" w:themeColor="accent6"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B15407" w:themeColor="accent6"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FFFFF" w:fill="FDE9D8" w:themeFill="accent6" w:themeFillTint="34"/>
      </w:tcPr>
    </w:tblStylePr>
    <w:tblStylePr w:type="band1Horz">
      <w:rPr>
        <w:color w:val="B15407" w:themeColor="accent6" w:themeShade="95"/>
        <w:sz w:val="22"/>
      </w:rPr>
      <w:tblPr/>
      <w:tcPr>
        <w:shd w:val="clear" w:color="FFFFFF" w:fill="FDE9D8" w:themeFill="accent6" w:themeFillTint="34"/>
      </w:tcPr>
    </w:tblStylePr>
    <w:tblStylePr w:type="band2Horz">
      <w:rPr>
        <w:color w:val="B15407" w:themeColor="accent6" w:themeShade="95"/>
        <w:sz w:val="22"/>
      </w:rPr>
    </w:tblStylePr>
  </w:style>
  <w:style w:type="table" w:styleId="-10">
    <w:name w:val="List Table 1 Light"/>
    <w:uiPriority w:val="99"/>
    <w:tblPr>
      <w:tblStyleRowBandSize w:val="1"/>
      <w:tblStyleColBandSize w:val="1"/>
      <w:tblCellMar>
        <w:top w:w="0" w:type="dxa"/>
        <w:left w:w="0" w:type="dxa"/>
        <w:bottom w:w="0" w:type="dxa"/>
        <w:right w:w="0" w:type="dxa"/>
      </w:tblCellMar>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uiPriority w:val="99"/>
    <w:tblPr>
      <w:tblStyleRowBandSize w:val="1"/>
      <w:tblStyleColBandSize w:val="1"/>
      <w:tblCellMar>
        <w:top w:w="0" w:type="dxa"/>
        <w:left w:w="0" w:type="dxa"/>
        <w:bottom w:w="0" w:type="dxa"/>
        <w:right w:w="0" w:type="dxa"/>
      </w:tblCellMar>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uiPriority w:val="99"/>
    <w:tblPr>
      <w:tblStyleRowBandSize w:val="1"/>
      <w:tblStyleColBandSize w:val="1"/>
      <w:tblCellMar>
        <w:top w:w="0" w:type="dxa"/>
        <w:left w:w="0" w:type="dxa"/>
        <w:bottom w:w="0" w:type="dxa"/>
        <w:right w:w="0" w:type="dxa"/>
      </w:tblCellMar>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uiPriority w:val="99"/>
    <w:tblPr>
      <w:tblStyleRowBandSize w:val="1"/>
      <w:tblStyleColBandSize w:val="1"/>
      <w:tblCellMar>
        <w:top w:w="0" w:type="dxa"/>
        <w:left w:w="0" w:type="dxa"/>
        <w:bottom w:w="0" w:type="dxa"/>
        <w:right w:w="0" w:type="dxa"/>
      </w:tblCellMar>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uiPriority w:val="99"/>
    <w:tblPr>
      <w:tblStyleRowBandSize w:val="1"/>
      <w:tblStyleColBandSize w:val="1"/>
      <w:tblCellMar>
        <w:top w:w="0" w:type="dxa"/>
        <w:left w:w="0" w:type="dxa"/>
        <w:bottom w:w="0" w:type="dxa"/>
        <w:right w:w="0" w:type="dxa"/>
      </w:tblCellMar>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uiPriority w:val="99"/>
    <w:tblPr>
      <w:tblStyleRowBandSize w:val="1"/>
      <w:tblStyleColBandSize w:val="1"/>
      <w:tblCellMar>
        <w:top w:w="0" w:type="dxa"/>
        <w:left w:w="0" w:type="dxa"/>
        <w:bottom w:w="0" w:type="dxa"/>
        <w:right w:w="0" w:type="dxa"/>
      </w:tblCellMar>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uiPriority w:val="99"/>
    <w:tblPr>
      <w:tblStyleRowBandSize w:val="1"/>
      <w:tblStyleColBandSize w:val="1"/>
      <w:tblCellMar>
        <w:top w:w="0" w:type="dxa"/>
        <w:left w:w="0" w:type="dxa"/>
        <w:bottom w:w="0" w:type="dxa"/>
        <w:right w:w="0" w:type="dxa"/>
      </w:tblCellMar>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styleId="-20">
    <w:name w:val="List Table 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2-Accent1">
    <w:name w:val="List Table 2 - Accent 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2DFEE" w:themeFill="accent1" w:themeFillTint="40"/>
      </w:tcPr>
    </w:tblStylePr>
    <w:tblStylePr w:type="band1Horz">
      <w:rPr>
        <w:sz w:val="22"/>
      </w:rPr>
      <w:tblPr/>
      <w:tcPr>
        <w:shd w:val="clear" w:color="FFFFFF" w:fill="D2DFEE" w:themeFill="accent1" w:themeFillTint="40"/>
      </w:tcPr>
    </w:tblStylePr>
  </w:style>
  <w:style w:type="table" w:customStyle="1" w:styleId="ListTable2-Accent2">
    <w:name w:val="List Table 2 - Accent 2"/>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FD2D2" w:themeFill="accent2" w:themeFillTint="40"/>
      </w:tcPr>
    </w:tblStylePr>
    <w:tblStylePr w:type="band1Horz">
      <w:rPr>
        <w:sz w:val="22"/>
      </w:rPr>
      <w:tblPr/>
      <w:tcPr>
        <w:shd w:val="clear" w:color="FFFFFF" w:fill="EFD2D2" w:themeFill="accent2" w:themeFillTint="40"/>
      </w:tcPr>
    </w:tblStylePr>
  </w:style>
  <w:style w:type="table" w:customStyle="1" w:styleId="ListTable2-Accent3">
    <w:name w:val="List Table 2 - Accent 3"/>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5EED5" w:themeFill="accent3" w:themeFillTint="40"/>
      </w:tcPr>
    </w:tblStylePr>
    <w:tblStylePr w:type="band1Horz">
      <w:rPr>
        <w:sz w:val="22"/>
      </w:rPr>
      <w:tblPr/>
      <w:tcPr>
        <w:shd w:val="clear" w:color="FFFFFF" w:fill="E5EED5" w:themeFill="accent3" w:themeFillTint="40"/>
      </w:tcPr>
    </w:tblStylePr>
  </w:style>
  <w:style w:type="table" w:customStyle="1" w:styleId="ListTable2-Accent4">
    <w:name w:val="List Table 2 - Accent 4"/>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FD8E7" w:themeFill="accent4" w:themeFillTint="40"/>
      </w:tcPr>
    </w:tblStylePr>
    <w:tblStylePr w:type="band1Horz">
      <w:rPr>
        <w:sz w:val="22"/>
      </w:rPr>
      <w:tblPr/>
      <w:tcPr>
        <w:shd w:val="clear" w:color="FFFFFF" w:fill="DFD8E7" w:themeFill="accent4" w:themeFillTint="40"/>
      </w:tcPr>
    </w:tblStylePr>
  </w:style>
  <w:style w:type="table" w:customStyle="1" w:styleId="ListTable2-Accent5">
    <w:name w:val="List Table 2 - Accent 5"/>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1EAF0" w:themeFill="accent5" w:themeFillTint="40"/>
      </w:tcPr>
    </w:tblStylePr>
    <w:tblStylePr w:type="band1Horz">
      <w:rPr>
        <w:sz w:val="22"/>
      </w:rPr>
      <w:tblPr/>
      <w:tcPr>
        <w:shd w:val="clear" w:color="FFFFFF" w:fill="D1EAF0" w:themeFill="accent5" w:themeFillTint="40"/>
      </w:tcPr>
    </w:tblStylePr>
  </w:style>
  <w:style w:type="table" w:customStyle="1" w:styleId="ListTable2-Accent6">
    <w:name w:val="List Table 2 - Accent 6"/>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FDE4D0" w:themeFill="accent6" w:themeFillTint="40"/>
      </w:tcPr>
    </w:tblStylePr>
    <w:tblStylePr w:type="band1Horz">
      <w:rPr>
        <w:sz w:val="22"/>
      </w:rPr>
      <w:tblPr/>
      <w:tcPr>
        <w:shd w:val="clear" w:color="FFFFFF" w:fill="FDE4D0" w:themeFill="accent6" w:themeFillTint="40"/>
      </w:tcPr>
    </w:tblStylePr>
  </w:style>
  <w:style w:type="table" w:styleId="-30">
    <w:name w:val="List Table 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b/>
        <w:sz w:val="22"/>
      </w:rPr>
      <w:tblPr/>
      <w:tcPr>
        <w:shd w:val="clear" w:color="FFFFFF"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b/>
        <w:sz w:val="22"/>
      </w:rPr>
      <w:tblPr/>
      <w:tcPr>
        <w:shd w:val="clear" w:color="FFFFFF"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b/>
        <w:sz w:val="22"/>
      </w:rPr>
      <w:tblPr/>
      <w:tcPr>
        <w:shd w:val="clear" w:color="FFFFFF"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b/>
        <w:sz w:val="22"/>
      </w:rPr>
      <w:tblPr/>
      <w:tcPr>
        <w:shd w:val="clear" w:color="FFFFFF"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b/>
        <w:sz w:val="22"/>
      </w:rPr>
      <w:tblPr/>
      <w:tcPr>
        <w:shd w:val="clear" w:color="FFFFFF"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b/>
        <w:sz w:val="22"/>
      </w:rPr>
      <w:tblPr/>
      <w:tcPr>
        <w:shd w:val="clear" w:color="FFFFFF"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styleId="-40">
    <w:name w:val="List Table 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4-Accent1">
    <w:name w:val="List Table 4 - Accent 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b/>
        <w:sz w:val="22"/>
      </w:rPr>
      <w:tblPr/>
      <w:tcPr>
        <w:shd w:val="clear" w:color="FFFFFF"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FFFFFF" w:fill="D2DFEE" w:themeFill="accent1" w:themeFillTint="40"/>
      </w:tcPr>
    </w:tblStylePr>
    <w:tblStylePr w:type="band1Horz">
      <w:rPr>
        <w:sz w:val="22"/>
      </w:rPr>
      <w:tblPr/>
      <w:tcPr>
        <w:shd w:val="clear" w:color="FFFFFF" w:fill="D2DFEE" w:themeFill="accent1" w:themeFillTint="40"/>
      </w:tcPr>
    </w:tblStylePr>
  </w:style>
  <w:style w:type="table" w:customStyle="1" w:styleId="ListTable4-Accent2">
    <w:name w:val="List Table 4 - Accent 2"/>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b/>
        <w:sz w:val="22"/>
      </w:rPr>
      <w:tblPr/>
      <w:tcPr>
        <w:shd w:val="clear" w:color="FFFFFF"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FFFFFF" w:fill="EFD2D2" w:themeFill="accent2" w:themeFillTint="40"/>
      </w:tcPr>
    </w:tblStylePr>
    <w:tblStylePr w:type="band1Horz">
      <w:rPr>
        <w:sz w:val="22"/>
      </w:rPr>
      <w:tblPr/>
      <w:tcPr>
        <w:shd w:val="clear" w:color="FFFFFF" w:fill="EFD2D2" w:themeFill="accent2" w:themeFillTint="40"/>
      </w:tcPr>
    </w:tblStylePr>
  </w:style>
  <w:style w:type="table" w:customStyle="1" w:styleId="ListTable4-Accent3">
    <w:name w:val="List Table 4 - Accent 3"/>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b/>
        <w:sz w:val="22"/>
      </w:rPr>
      <w:tblPr/>
      <w:tcPr>
        <w:shd w:val="clear" w:color="FFFFFF"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FFFFFF" w:fill="E5EED5" w:themeFill="accent3" w:themeFillTint="40"/>
      </w:tcPr>
    </w:tblStylePr>
    <w:tblStylePr w:type="band1Horz">
      <w:rPr>
        <w:sz w:val="22"/>
      </w:rPr>
      <w:tblPr/>
      <w:tcPr>
        <w:shd w:val="clear" w:color="FFFFFF" w:fill="E5EED5" w:themeFill="accent3" w:themeFillTint="40"/>
      </w:tcPr>
    </w:tblStylePr>
  </w:style>
  <w:style w:type="table" w:customStyle="1" w:styleId="ListTable4-Accent4">
    <w:name w:val="List Table 4 - Accent 4"/>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b/>
        <w:sz w:val="22"/>
      </w:rPr>
      <w:tblPr/>
      <w:tcPr>
        <w:shd w:val="clear" w:color="FFFFFF"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FFFFFF" w:fill="DFD8E7" w:themeFill="accent4" w:themeFillTint="40"/>
      </w:tcPr>
    </w:tblStylePr>
    <w:tblStylePr w:type="band1Horz">
      <w:rPr>
        <w:sz w:val="22"/>
      </w:rPr>
      <w:tblPr/>
      <w:tcPr>
        <w:shd w:val="clear" w:color="FFFFFF" w:fill="DFD8E7" w:themeFill="accent4" w:themeFillTint="40"/>
      </w:tcPr>
    </w:tblStylePr>
  </w:style>
  <w:style w:type="table" w:customStyle="1" w:styleId="ListTable4-Accent5">
    <w:name w:val="List Table 4 - Accent 5"/>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b/>
        <w:sz w:val="22"/>
      </w:rPr>
      <w:tblPr/>
      <w:tcPr>
        <w:shd w:val="clear" w:color="FFFFFF"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FFFFFF" w:fill="D1EAF0" w:themeFill="accent5" w:themeFillTint="40"/>
      </w:tcPr>
    </w:tblStylePr>
    <w:tblStylePr w:type="band1Horz">
      <w:rPr>
        <w:sz w:val="22"/>
      </w:rPr>
      <w:tblPr/>
      <w:tcPr>
        <w:shd w:val="clear" w:color="FFFFFF" w:fill="D1EAF0" w:themeFill="accent5" w:themeFillTint="40"/>
      </w:tcPr>
    </w:tblStylePr>
  </w:style>
  <w:style w:type="table" w:customStyle="1" w:styleId="ListTable4-Accent6">
    <w:name w:val="List Table 4 - Accent 6"/>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b/>
        <w:sz w:val="22"/>
      </w:rPr>
      <w:tblPr/>
      <w:tcPr>
        <w:shd w:val="clear" w:color="FFFFFF"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FFFFF" w:fill="FDE4D0" w:themeFill="accent6" w:themeFillTint="40"/>
      </w:tcPr>
    </w:tblStylePr>
    <w:tblStylePr w:type="band1Horz">
      <w:rPr>
        <w:sz w:val="22"/>
      </w:rPr>
      <w:tblPr/>
      <w:tcPr>
        <w:shd w:val="clear" w:color="FFFFFF" w:fill="FDE4D0" w:themeFill="accent6" w:themeFillTint="40"/>
      </w:tcPr>
    </w:tblStylePr>
  </w:style>
  <w:style w:type="table" w:styleId="-50">
    <w:name w:val="List Table 5 Dark"/>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0" w:type="dxa"/>
        <w:bottom w:w="0" w:type="dxa"/>
        <w:right w:w="0"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0" w:type="dxa"/>
        <w:bottom w:w="0" w:type="dxa"/>
        <w:right w:w="0" w:type="dxa"/>
      </w:tblCellMar>
    </w:tblPr>
    <w:tblStylePr w:type="firstRow">
      <w:rPr>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0" w:type="dxa"/>
        <w:bottom w:w="0" w:type="dxa"/>
        <w:right w:w="0" w:type="dxa"/>
      </w:tblCellMar>
    </w:tblPr>
    <w:tblStylePr w:type="firstRow">
      <w:rPr>
        <w:b/>
        <w:color w:val="FFFFFF" w:themeColor="light1"/>
        <w:sz w:val="22"/>
      </w:rPr>
      <w:tblPr/>
      <w:tcPr>
        <w:tcBorders>
          <w:top w:val="single" w:sz="32" w:space="0" w:color="C0504D" w:themeColor="accent2"/>
          <w:bottom w:val="single" w:sz="12" w:space="0" w:color="FFFFFF" w:themeColor="light1"/>
        </w:tcBorders>
        <w:shd w:val="clear" w:color="FFFFFF"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0" w:type="dxa"/>
        <w:bottom w:w="0" w:type="dxa"/>
        <w:right w:w="0" w:type="dxa"/>
      </w:tblCellMar>
    </w:tblPr>
    <w:tblStylePr w:type="firstRow">
      <w:rPr>
        <w:b/>
        <w:color w:val="FFFFFF" w:themeColor="light1"/>
        <w:sz w:val="22"/>
      </w:rPr>
      <w:tblPr/>
      <w:tcPr>
        <w:tcBorders>
          <w:top w:val="single" w:sz="32" w:space="0" w:color="9BBB59" w:themeColor="accent3"/>
          <w:bottom w:val="single" w:sz="12" w:space="0" w:color="FFFFFF" w:themeColor="light1"/>
        </w:tcBorders>
        <w:shd w:val="clear" w:color="FFFFFF"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0" w:type="dxa"/>
        <w:bottom w:w="0" w:type="dxa"/>
        <w:right w:w="0" w:type="dxa"/>
      </w:tblCellMar>
    </w:tblPr>
    <w:tblStylePr w:type="firstRow">
      <w:rPr>
        <w:b/>
        <w:color w:val="FFFFFF" w:themeColor="light1"/>
        <w:sz w:val="22"/>
      </w:rPr>
      <w:tblPr/>
      <w:tcPr>
        <w:tcBorders>
          <w:top w:val="single" w:sz="32" w:space="0" w:color="8064A2" w:themeColor="accent4"/>
          <w:bottom w:val="single" w:sz="12" w:space="0" w:color="FFFFFF" w:themeColor="light1"/>
        </w:tcBorders>
        <w:shd w:val="clear" w:color="FFFFFF"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0" w:type="dxa"/>
        <w:bottom w:w="0" w:type="dxa"/>
        <w:right w:w="0" w:type="dxa"/>
      </w:tblCellMar>
    </w:tblPr>
    <w:tblStylePr w:type="firstRow">
      <w:rPr>
        <w:b/>
        <w:color w:val="FFFFFF" w:themeColor="light1"/>
        <w:sz w:val="22"/>
      </w:rPr>
      <w:tblPr/>
      <w:tcPr>
        <w:tcBorders>
          <w:top w:val="single" w:sz="32" w:space="0" w:color="4BACC6" w:themeColor="accent5"/>
          <w:bottom w:val="single" w:sz="12" w:space="0" w:color="FFFFFF" w:themeColor="light1"/>
        </w:tcBorders>
        <w:shd w:val="clear" w:color="FFFFFF"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0" w:type="dxa"/>
        <w:bottom w:w="0" w:type="dxa"/>
        <w:right w:w="0" w:type="dxa"/>
      </w:tblCellMar>
    </w:tblPr>
    <w:tblStylePr w:type="firstRow">
      <w:rPr>
        <w:b/>
        <w:color w:val="FFFFFF" w:themeColor="light1"/>
        <w:sz w:val="22"/>
      </w:rPr>
      <w:tblPr/>
      <w:tcPr>
        <w:tcBorders>
          <w:top w:val="single" w:sz="32" w:space="0" w:color="F79646" w:themeColor="accent6"/>
          <w:bottom w:val="single" w:sz="12" w:space="0" w:color="FFFFFF" w:themeColor="light1"/>
        </w:tcBorders>
        <w:shd w:val="clear" w:color="FFFFFF"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styleId="-60">
    <w:name w:val="List Table 6 Colorful"/>
    <w:uiPriority w:val="99"/>
    <w:tblPr>
      <w:tblStyleRowBandSize w:val="1"/>
      <w:tblStyleColBandSize w:val="1"/>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uiPriority w:val="99"/>
    <w:tblPr>
      <w:tblStyleRowBandSize w:val="1"/>
      <w:tblStyleColBandSize w:val="1"/>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uiPriority w:val="99"/>
    <w:tblPr>
      <w:tblStyleRowBandSize w:val="1"/>
      <w:tblStyleColBandSize w:val="1"/>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styleId="-70">
    <w:name w:val="List Table 7 Colorful"/>
    <w:uiPriority w:val="99"/>
    <w:tblPr>
      <w:tblStyleRowBandSize w:val="1"/>
      <w:tblStyleColBandSize w:val="1"/>
      <w:tblBorders>
        <w:right w:val="single" w:sz="4" w:space="0" w:color="7F7F7F" w:themeColor="text1" w:themeTint="80"/>
      </w:tblBorders>
      <w:tblCellMar>
        <w:top w:w="0" w:type="dxa"/>
        <w:left w:w="0" w:type="dxa"/>
        <w:bottom w:w="0" w:type="dxa"/>
        <w:right w:w="0" w:type="dxa"/>
      </w:tblCellMar>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Borders>
        <w:right w:val="single" w:sz="4" w:space="0" w:color="4F81BD" w:themeColor="accent1"/>
      </w:tblBorders>
      <w:tblCellMar>
        <w:top w:w="0" w:type="dxa"/>
        <w:left w:w="0" w:type="dxa"/>
        <w:bottom w:w="0" w:type="dxa"/>
        <w:right w:w="0" w:type="dxa"/>
      </w:tblCellMar>
    </w:tblPr>
    <w:tblStylePr w:type="firstRow">
      <w:rPr>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uiPriority w:val="99"/>
    <w:tblPr>
      <w:tblStyleRowBandSize w:val="1"/>
      <w:tblStyleColBandSize w:val="1"/>
      <w:tblBorders>
        <w:right w:val="single" w:sz="4" w:space="0" w:color="D99695" w:themeColor="accent2" w:themeTint="97"/>
      </w:tblBorders>
      <w:tblCellMar>
        <w:top w:w="0" w:type="dxa"/>
        <w:left w:w="0" w:type="dxa"/>
        <w:bottom w:w="0" w:type="dxa"/>
        <w:right w:w="0" w:type="dxa"/>
      </w:tblCellMar>
    </w:tblPr>
    <w:tblStylePr w:type="firstRow">
      <w:rPr>
        <w:i/>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Borders>
        <w:right w:val="single" w:sz="4" w:space="0" w:color="C3D69B" w:themeColor="accent3" w:themeTint="98"/>
      </w:tblBorders>
      <w:tblCellMar>
        <w:top w:w="0" w:type="dxa"/>
        <w:left w:w="0" w:type="dxa"/>
        <w:bottom w:w="0" w:type="dxa"/>
        <w:right w:w="0" w:type="dxa"/>
      </w:tblCellMar>
    </w:tblPr>
    <w:tblStylePr w:type="firstRow">
      <w:rPr>
        <w:i/>
        <w:color w:val="C3D69B" w:themeColor="accent3" w:themeTint="98"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3D69B" w:themeColor="accent3" w:themeTint="98"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Borders>
        <w:right w:val="single" w:sz="4" w:space="0" w:color="B2A1C6" w:themeColor="accent4" w:themeTint="9A"/>
      </w:tblBorders>
      <w:tblCellMar>
        <w:top w:w="0" w:type="dxa"/>
        <w:left w:w="0" w:type="dxa"/>
        <w:bottom w:w="0" w:type="dxa"/>
        <w:right w:w="0" w:type="dxa"/>
      </w:tblCellMar>
    </w:tblPr>
    <w:tblStylePr w:type="firstRow">
      <w:rPr>
        <w:i/>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Borders>
        <w:right w:val="single" w:sz="4" w:space="0" w:color="92CCDC" w:themeColor="accent5" w:themeTint="9A"/>
      </w:tblBorders>
      <w:tblCellMar>
        <w:top w:w="0" w:type="dxa"/>
        <w:left w:w="0" w:type="dxa"/>
        <w:bottom w:w="0" w:type="dxa"/>
        <w:right w:w="0" w:type="dxa"/>
      </w:tblCellMar>
    </w:tblPr>
    <w:tblStylePr w:type="firstRow">
      <w:rPr>
        <w:i/>
        <w:color w:val="92CCDC" w:themeColor="accent5" w:themeTint="9A"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2CCDC" w:themeColor="accent5" w:themeTint="9A"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Borders>
        <w:right w:val="single" w:sz="4" w:space="0" w:color="FAC090" w:themeColor="accent6" w:themeTint="98"/>
      </w:tblBorders>
      <w:tblCellMar>
        <w:top w:w="0" w:type="dxa"/>
        <w:left w:w="0" w:type="dxa"/>
        <w:bottom w:w="0" w:type="dxa"/>
        <w:right w:w="0" w:type="dxa"/>
      </w:tblCellMar>
    </w:tblPr>
    <w:tblStylePr w:type="firstRow">
      <w:rPr>
        <w:i/>
        <w:color w:val="FAC090" w:themeColor="accent6" w:themeTint="98"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AC090" w:themeColor="accent6" w:themeTint="98"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customStyle="1" w:styleId="Lined-Accent">
    <w:name w:val="Lined - Accent"/>
    <w:uiPriority w:val="99"/>
    <w:tblPr>
      <w:tblStyleRowBandSize w:val="1"/>
      <w:tblStyleColBandSize w:val="1"/>
      <w:tblCellMar>
        <w:top w:w="0" w:type="dxa"/>
        <w:left w:w="0" w:type="dxa"/>
        <w:bottom w:w="0" w:type="dxa"/>
        <w:right w:w="0" w:type="dxa"/>
      </w:tblCellMar>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FFFFF" w:themeFill="text1" w:themeFillTint="00"/>
      </w:tcPr>
    </w:tblStylePr>
    <w:tblStylePr w:type="band1Horz">
      <w:rPr>
        <w:sz w:val="22"/>
      </w:rPr>
    </w:tblStylePr>
    <w:tblStylePr w:type="band2Horz">
      <w:rPr>
        <w:sz w:val="22"/>
      </w:rPr>
      <w:tblPr/>
      <w:tcPr>
        <w:shd w:val="clear" w:color="FFFFFF" w:fill="FFFFFF" w:themeFill="text1" w:themeFillTint="00"/>
      </w:tcPr>
    </w:tblStylePr>
  </w:style>
  <w:style w:type="table" w:customStyle="1" w:styleId="Lined-Accent1">
    <w:name w:val="Lined - Accent 1"/>
    <w:uiPriority w:val="99"/>
    <w:tblPr>
      <w:tblStyleRowBandSize w:val="1"/>
      <w:tblStyleColBandSize w:val="1"/>
      <w:tblCellMar>
        <w:top w:w="0" w:type="dxa"/>
        <w:left w:w="0" w:type="dxa"/>
        <w:bottom w:w="0" w:type="dxa"/>
        <w:right w:w="0" w:type="dxa"/>
      </w:tblCellMar>
    </w:tblPr>
    <w:tblStylePr w:type="firstRow">
      <w:rPr>
        <w:sz w:val="22"/>
      </w:rPr>
      <w:tblPr/>
      <w:tcPr>
        <w:shd w:val="clear" w:color="FFFFFF" w:fill="5D8AC2" w:themeFill="accent1" w:themeFillTint="EA"/>
      </w:tcPr>
    </w:tblStylePr>
    <w:tblStylePr w:type="lastRow">
      <w:rPr>
        <w:sz w:val="22"/>
      </w:rPr>
      <w:tblPr/>
      <w:tcPr>
        <w:shd w:val="clear" w:color="FFFFFF" w:fill="5D8AC2" w:themeFill="accent1" w:themeFillTint="EA"/>
      </w:tcPr>
    </w:tblStylePr>
    <w:tblStylePr w:type="firstCol">
      <w:rPr>
        <w:sz w:val="22"/>
      </w:rPr>
      <w:tblPr/>
      <w:tcPr>
        <w:shd w:val="clear" w:color="FFFFFF" w:fill="5D8AC2" w:themeFill="accent1" w:themeFillTint="EA"/>
      </w:tcPr>
    </w:tblStylePr>
    <w:tblStylePr w:type="lastCol">
      <w:rPr>
        <w:sz w:val="22"/>
      </w:rPr>
      <w:tblPr/>
      <w:tcPr>
        <w:shd w:val="clear" w:color="FFFFFF" w:fill="5D8AC2" w:themeFill="accent1" w:themeFillTint="EA"/>
      </w:tcPr>
    </w:tblStylePr>
    <w:tblStylePr w:type="band1Vert">
      <w:rPr>
        <w:sz w:val="22"/>
      </w:rPr>
    </w:tblStylePr>
    <w:tblStylePr w:type="band2Vert">
      <w:rPr>
        <w:sz w:val="22"/>
      </w:rPr>
      <w:tblPr/>
      <w:tcPr>
        <w:shd w:val="clear" w:color="FFFFFF" w:fill="C7D7EA" w:themeFill="accent1" w:themeFillTint="50"/>
      </w:tcPr>
    </w:tblStylePr>
    <w:tblStylePr w:type="band1Horz">
      <w:rPr>
        <w:sz w:val="22"/>
      </w:rPr>
    </w:tblStylePr>
    <w:tblStylePr w:type="band2Horz">
      <w:rPr>
        <w:sz w:val="22"/>
      </w:rPr>
      <w:tblPr/>
      <w:tcPr>
        <w:shd w:val="clear" w:color="FFFFFF" w:fill="C7D7EA" w:themeFill="accent1" w:themeFillTint="50"/>
      </w:tcPr>
    </w:tblStylePr>
  </w:style>
  <w:style w:type="table" w:customStyle="1" w:styleId="Lined-Accent2">
    <w:name w:val="Lined - Accent 2"/>
    <w:uiPriority w:val="99"/>
    <w:tblPr>
      <w:tblStyleRowBandSize w:val="1"/>
      <w:tblStyleColBandSize w:val="1"/>
      <w:tblCellMar>
        <w:top w:w="0" w:type="dxa"/>
        <w:left w:w="0" w:type="dxa"/>
        <w:bottom w:w="0" w:type="dxa"/>
        <w:right w:w="0" w:type="dxa"/>
      </w:tblCellMar>
    </w:tblPr>
    <w:tblStylePr w:type="firstRow">
      <w:rPr>
        <w:sz w:val="22"/>
      </w:rPr>
      <w:tblPr/>
      <w:tcPr>
        <w:shd w:val="clear" w:color="FFFFFF" w:fill="D99695" w:themeFill="accent2" w:themeFillTint="97"/>
      </w:tcPr>
    </w:tblStylePr>
    <w:tblStylePr w:type="lastRow">
      <w:rPr>
        <w:sz w:val="22"/>
      </w:rPr>
      <w:tblPr/>
      <w:tcPr>
        <w:shd w:val="clear" w:color="FFFFFF" w:fill="D99695" w:themeFill="accent2" w:themeFillTint="97"/>
      </w:tcPr>
    </w:tblStylePr>
    <w:tblStylePr w:type="firstCol">
      <w:rPr>
        <w:sz w:val="22"/>
      </w:rPr>
      <w:tblPr/>
      <w:tcPr>
        <w:shd w:val="clear" w:color="FFFFFF" w:fill="D99695" w:themeFill="accent2" w:themeFillTint="97"/>
      </w:tcPr>
    </w:tblStylePr>
    <w:tblStylePr w:type="lastCol">
      <w:rPr>
        <w:sz w:val="22"/>
      </w:rPr>
      <w:tblPr/>
      <w:tcPr>
        <w:shd w:val="clear" w:color="FFFFFF" w:fill="D99695" w:themeFill="accent2" w:themeFillTint="97"/>
      </w:tcPr>
    </w:tblStylePr>
    <w:tblStylePr w:type="band1Vert">
      <w:rPr>
        <w:sz w:val="22"/>
      </w:rPr>
    </w:tblStylePr>
    <w:tblStylePr w:type="band2Vert">
      <w:rPr>
        <w:sz w:val="22"/>
      </w:rPr>
      <w:tblPr/>
      <w:tcPr>
        <w:shd w:val="clear" w:color="FFFFFF" w:fill="F2DCDC" w:themeFill="accent2" w:themeFillTint="32"/>
      </w:tcPr>
    </w:tblStylePr>
    <w:tblStylePr w:type="band1Horz">
      <w:rPr>
        <w:sz w:val="22"/>
      </w:rPr>
    </w:tblStylePr>
    <w:tblStylePr w:type="band2Horz">
      <w:rPr>
        <w:sz w:val="22"/>
      </w:rPr>
      <w:tblPr/>
      <w:tcPr>
        <w:shd w:val="clear" w:color="FFFFFF" w:fill="F2DCDC" w:themeFill="accent2" w:themeFillTint="32"/>
      </w:tcPr>
    </w:tblStylePr>
  </w:style>
  <w:style w:type="table" w:customStyle="1" w:styleId="Lined-Accent3">
    <w:name w:val="Lined - Accent 3"/>
    <w:uiPriority w:val="99"/>
    <w:tblPr>
      <w:tblStyleRowBandSize w:val="1"/>
      <w:tblStyleColBandSize w:val="1"/>
      <w:tblCellMar>
        <w:top w:w="0" w:type="dxa"/>
        <w:left w:w="0" w:type="dxa"/>
        <w:bottom w:w="0" w:type="dxa"/>
        <w:right w:w="0" w:type="dxa"/>
      </w:tblCellMar>
    </w:tblPr>
    <w:tblStylePr w:type="firstRow">
      <w:rPr>
        <w:sz w:val="22"/>
      </w:rPr>
      <w:tblPr/>
      <w:tcPr>
        <w:shd w:val="clear" w:color="FFFFFF" w:fill="9ABB59" w:themeFill="accent3" w:themeFillTint="FE"/>
      </w:tcPr>
    </w:tblStylePr>
    <w:tblStylePr w:type="lastRow">
      <w:rPr>
        <w:sz w:val="22"/>
      </w:rPr>
      <w:tblPr/>
      <w:tcPr>
        <w:shd w:val="clear" w:color="FFFFFF" w:fill="9ABB59" w:themeFill="accent3" w:themeFillTint="FE"/>
      </w:tcPr>
    </w:tblStylePr>
    <w:tblStylePr w:type="firstCol">
      <w:rPr>
        <w:sz w:val="22"/>
      </w:rPr>
      <w:tblPr/>
      <w:tcPr>
        <w:shd w:val="clear" w:color="FFFFFF" w:fill="9ABB59" w:themeFill="accent3" w:themeFillTint="FE"/>
      </w:tcPr>
    </w:tblStylePr>
    <w:tblStylePr w:type="lastCol">
      <w:rPr>
        <w:sz w:val="22"/>
      </w:rPr>
      <w:tblPr/>
      <w:tcPr>
        <w:shd w:val="clear" w:color="FFFFFF" w:fill="9ABB59" w:themeFill="accent3" w:themeFillTint="FE"/>
      </w:tcPr>
    </w:tblStylePr>
    <w:tblStylePr w:type="band1Vert">
      <w:rPr>
        <w:sz w:val="22"/>
      </w:rPr>
    </w:tblStylePr>
    <w:tblStylePr w:type="band2Vert">
      <w:rPr>
        <w:sz w:val="22"/>
      </w:rPr>
      <w:tblPr/>
      <w:tcPr>
        <w:shd w:val="clear" w:color="FFFFFF" w:fill="EAF1DC" w:themeFill="accent3" w:themeFillTint="34"/>
      </w:tcPr>
    </w:tblStylePr>
    <w:tblStylePr w:type="band1Horz">
      <w:rPr>
        <w:sz w:val="22"/>
      </w:rPr>
    </w:tblStylePr>
    <w:tblStylePr w:type="band2Horz">
      <w:rPr>
        <w:sz w:val="22"/>
      </w:rPr>
      <w:tblPr/>
      <w:tcPr>
        <w:shd w:val="clear" w:color="FFFFFF" w:fill="EAF1DC" w:themeFill="accent3" w:themeFillTint="34"/>
      </w:tcPr>
    </w:tblStylePr>
  </w:style>
  <w:style w:type="table" w:customStyle="1" w:styleId="Lined-Accent4">
    <w:name w:val="Lined - Accent 4"/>
    <w:uiPriority w:val="99"/>
    <w:tblPr>
      <w:tblStyleRowBandSize w:val="1"/>
      <w:tblStyleColBandSize w:val="1"/>
      <w:tblCellMar>
        <w:top w:w="0" w:type="dxa"/>
        <w:left w:w="0" w:type="dxa"/>
        <w:bottom w:w="0" w:type="dxa"/>
        <w:right w:w="0" w:type="dxa"/>
      </w:tblCellMar>
    </w:tblPr>
    <w:tblStylePr w:type="firstRow">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tblStylePr w:type="firstCol">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band1Vert">
      <w:rPr>
        <w:sz w:val="22"/>
      </w:rPr>
    </w:tblStylePr>
    <w:tblStylePr w:type="band2Vert">
      <w:rPr>
        <w:sz w:val="22"/>
      </w:rPr>
      <w:tblPr/>
      <w:tcPr>
        <w:shd w:val="clear" w:color="FFFFFF" w:fill="E5DFEC" w:themeFill="accent4" w:themeFillTint="34"/>
      </w:tcPr>
    </w:tblStylePr>
    <w:tblStylePr w:type="band1Horz">
      <w:rPr>
        <w:sz w:val="22"/>
      </w:rPr>
    </w:tblStylePr>
    <w:tblStylePr w:type="band2Horz">
      <w:rPr>
        <w:sz w:val="22"/>
      </w:rPr>
      <w:tblPr/>
      <w:tcPr>
        <w:shd w:val="clear" w:color="FFFFFF" w:fill="E5DFEC" w:themeFill="accent4" w:themeFillTint="34"/>
      </w:tcPr>
    </w:tblStylePr>
  </w:style>
  <w:style w:type="table" w:customStyle="1" w:styleId="Lined-Accent5">
    <w:name w:val="Lined - Accent 5"/>
    <w:uiPriority w:val="99"/>
    <w:tblPr>
      <w:tblStyleRowBandSize w:val="1"/>
      <w:tblStyleColBandSize w:val="1"/>
      <w:tblCellMar>
        <w:top w:w="0" w:type="dxa"/>
        <w:left w:w="0" w:type="dxa"/>
        <w:bottom w:w="0" w:type="dxa"/>
        <w:right w:w="0" w:type="dxa"/>
      </w:tblCellMar>
    </w:tblPr>
    <w:tblStylePr w:type="firstRow">
      <w:rPr>
        <w:sz w:val="22"/>
      </w:rPr>
      <w:tblPr/>
      <w:tcPr>
        <w:shd w:val="clear" w:color="FFFFFF" w:fill="4BACC6" w:themeFill="accent5"/>
      </w:tcPr>
    </w:tblStylePr>
    <w:tblStylePr w:type="lastRow">
      <w:rPr>
        <w:sz w:val="22"/>
      </w:rPr>
      <w:tblPr/>
      <w:tcPr>
        <w:shd w:val="clear" w:color="FFFFFF" w:fill="4BACC6" w:themeFill="accent5"/>
      </w:tcPr>
    </w:tblStylePr>
    <w:tblStylePr w:type="firstCol">
      <w:rPr>
        <w:sz w:val="22"/>
      </w:rPr>
      <w:tblPr/>
      <w:tcPr>
        <w:shd w:val="clear" w:color="FFFFFF" w:fill="4BACC6" w:themeFill="accent5"/>
      </w:tcPr>
    </w:tblStylePr>
    <w:tblStylePr w:type="lastCol">
      <w:rPr>
        <w:sz w:val="22"/>
      </w:rPr>
      <w:tblPr/>
      <w:tcPr>
        <w:shd w:val="clear" w:color="FFFFFF" w:fill="4BACC6" w:themeFill="accent5"/>
      </w:tcPr>
    </w:tblStylePr>
    <w:tblStylePr w:type="band1Vert">
      <w:rPr>
        <w:sz w:val="22"/>
      </w:rPr>
    </w:tblStylePr>
    <w:tblStylePr w:type="band2Vert">
      <w:rPr>
        <w:sz w:val="22"/>
      </w:rPr>
      <w:tblPr/>
      <w:tcPr>
        <w:shd w:val="clear" w:color="FFFFFF" w:fill="DAEEF3" w:themeFill="accent5" w:themeFillTint="34"/>
      </w:tcPr>
    </w:tblStylePr>
    <w:tblStylePr w:type="band1Horz">
      <w:rPr>
        <w:sz w:val="22"/>
      </w:rPr>
    </w:tblStylePr>
    <w:tblStylePr w:type="band2Horz">
      <w:rPr>
        <w:sz w:val="22"/>
      </w:rPr>
      <w:tblPr/>
      <w:tcPr>
        <w:shd w:val="clear" w:color="FFFFFF" w:fill="DAEEF3" w:themeFill="accent5" w:themeFillTint="34"/>
      </w:tcPr>
    </w:tblStylePr>
  </w:style>
  <w:style w:type="table" w:customStyle="1" w:styleId="Lined-Accent6">
    <w:name w:val="Lined - Accent 6"/>
    <w:uiPriority w:val="99"/>
    <w:tblPr>
      <w:tblStyleRowBandSize w:val="1"/>
      <w:tblStyleColBandSize w:val="1"/>
      <w:tblCellMar>
        <w:top w:w="0" w:type="dxa"/>
        <w:left w:w="0" w:type="dxa"/>
        <w:bottom w:w="0" w:type="dxa"/>
        <w:right w:w="0" w:type="dxa"/>
      </w:tblCellMar>
    </w:tblPr>
    <w:tblStylePr w:type="firstRow">
      <w:rPr>
        <w:sz w:val="22"/>
      </w:rPr>
      <w:tblPr/>
      <w:tcPr>
        <w:shd w:val="clear" w:color="FFFFFF" w:fill="F79646" w:themeFill="accent6"/>
      </w:tcPr>
    </w:tblStylePr>
    <w:tblStylePr w:type="lastRow">
      <w:rPr>
        <w:sz w:val="22"/>
      </w:rPr>
      <w:tblPr/>
      <w:tcPr>
        <w:shd w:val="clear" w:color="FFFFFF" w:fill="F79646" w:themeFill="accent6"/>
      </w:tcPr>
    </w:tblStylePr>
    <w:tblStylePr w:type="firstCol">
      <w:rPr>
        <w:sz w:val="22"/>
      </w:rPr>
      <w:tblPr/>
      <w:tcPr>
        <w:shd w:val="clear" w:color="FFFFFF" w:fill="F79646" w:themeFill="accent6"/>
      </w:tcPr>
    </w:tblStylePr>
    <w:tblStylePr w:type="lastCol">
      <w:rPr>
        <w:sz w:val="22"/>
      </w:rPr>
      <w:tblPr/>
      <w:tcPr>
        <w:shd w:val="clear" w:color="FFFFFF" w:fill="F79646" w:themeFill="accent6"/>
      </w:tcPr>
    </w:tblStylePr>
    <w:tblStylePr w:type="band1Vert">
      <w:rPr>
        <w:sz w:val="22"/>
      </w:rPr>
    </w:tblStylePr>
    <w:tblStylePr w:type="band2Vert">
      <w:rPr>
        <w:sz w:val="22"/>
      </w:rPr>
      <w:tblPr/>
      <w:tcPr>
        <w:shd w:val="clear" w:color="FFFFFF" w:fill="FDE9D8" w:themeFill="accent6" w:themeFillTint="34"/>
      </w:tcPr>
    </w:tblStylePr>
    <w:tblStylePr w:type="band1Horz">
      <w:rPr>
        <w:sz w:val="22"/>
      </w:rPr>
    </w:tblStylePr>
    <w:tblStylePr w:type="band2Horz">
      <w:rPr>
        <w:sz w:val="22"/>
      </w:rPr>
      <w:tblPr/>
      <w:tcPr>
        <w:shd w:val="clear" w:color="FFFFFF" w:fill="FDE9D8" w:themeFill="accent6" w:themeFillTint="34"/>
      </w:tcPr>
    </w:tblStylePr>
  </w:style>
  <w:style w:type="table" w:customStyle="1" w:styleId="BorderedLined-Accent">
    <w:name w:val="Bordered &amp; Lined - Accent"/>
    <w:uiPriority w:val="99"/>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FFFFF" w:themeFill="text1" w:themeFillTint="00"/>
      </w:tcPr>
    </w:tblStylePr>
    <w:tblStylePr w:type="band1Horz">
      <w:rPr>
        <w:sz w:val="22"/>
      </w:rPr>
    </w:tblStylePr>
    <w:tblStylePr w:type="band2Horz">
      <w:rPr>
        <w:sz w:val="22"/>
      </w:rPr>
      <w:tblPr/>
      <w:tcPr>
        <w:shd w:val="clear" w:color="FFFFFF" w:fill="FFFFFF" w:themeFill="text1" w:themeFillTint="00"/>
      </w:tcPr>
    </w:tblStylePr>
  </w:style>
  <w:style w:type="table" w:customStyle="1" w:styleId="BorderedLined-Accent1">
    <w:name w:val="Bordered &amp; Lined - Accent 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0" w:type="dxa"/>
        <w:bottom w:w="0" w:type="dxa"/>
        <w:right w:w="0" w:type="dxa"/>
      </w:tblCellMar>
    </w:tblPr>
    <w:tblStylePr w:type="firstRow">
      <w:rPr>
        <w:sz w:val="22"/>
      </w:rPr>
      <w:tblPr/>
      <w:tcPr>
        <w:shd w:val="clear" w:color="FFFFFF" w:fill="5D8AC2" w:themeFill="accent1" w:themeFillTint="EA"/>
      </w:tcPr>
    </w:tblStylePr>
    <w:tblStylePr w:type="lastRow">
      <w:rPr>
        <w:sz w:val="22"/>
      </w:rPr>
      <w:tblPr/>
      <w:tcPr>
        <w:shd w:val="clear" w:color="FFFFFF" w:fill="5D8AC2" w:themeFill="accent1" w:themeFillTint="EA"/>
      </w:tcPr>
    </w:tblStylePr>
    <w:tblStylePr w:type="firstCol">
      <w:rPr>
        <w:sz w:val="22"/>
      </w:rPr>
      <w:tblPr/>
      <w:tcPr>
        <w:shd w:val="clear" w:color="FFFFFF" w:fill="5D8AC2" w:themeFill="accent1" w:themeFillTint="EA"/>
      </w:tcPr>
    </w:tblStylePr>
    <w:tblStylePr w:type="lastCol">
      <w:rPr>
        <w:sz w:val="22"/>
      </w:rPr>
      <w:tblPr/>
      <w:tcPr>
        <w:shd w:val="clear" w:color="FFFFFF" w:fill="5D8AC2" w:themeFill="accent1" w:themeFillTint="EA"/>
      </w:tcPr>
    </w:tblStylePr>
    <w:tblStylePr w:type="band1Vert">
      <w:rPr>
        <w:sz w:val="22"/>
      </w:rPr>
    </w:tblStylePr>
    <w:tblStylePr w:type="band2Vert">
      <w:rPr>
        <w:sz w:val="22"/>
      </w:rPr>
      <w:tblPr/>
      <w:tcPr>
        <w:shd w:val="clear" w:color="FFFFFF" w:fill="C7D7EA" w:themeFill="accent1" w:themeFillTint="50"/>
      </w:tcPr>
    </w:tblStylePr>
    <w:tblStylePr w:type="band1Horz">
      <w:rPr>
        <w:sz w:val="22"/>
      </w:rPr>
    </w:tblStylePr>
    <w:tblStylePr w:type="band2Horz">
      <w:rPr>
        <w:sz w:val="22"/>
      </w:rPr>
      <w:tblPr/>
      <w:tcPr>
        <w:shd w:val="clear" w:color="FFFFFF" w:fill="C7D7EA" w:themeFill="accent1" w:themeFillTint="50"/>
      </w:tcPr>
    </w:tblStylePr>
  </w:style>
  <w:style w:type="table" w:customStyle="1" w:styleId="BorderedLined-Accent2">
    <w:name w:val="Bordered &amp; Lined - Accent 2"/>
    <w:uiPriority w:val="9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CellMar>
        <w:top w:w="0" w:type="dxa"/>
        <w:left w:w="0" w:type="dxa"/>
        <w:bottom w:w="0" w:type="dxa"/>
        <w:right w:w="0" w:type="dxa"/>
      </w:tblCellMar>
    </w:tblPr>
    <w:tblStylePr w:type="firstRow">
      <w:rPr>
        <w:sz w:val="22"/>
      </w:rPr>
      <w:tblPr/>
      <w:tcPr>
        <w:shd w:val="clear" w:color="FFFFFF" w:fill="D99695" w:themeFill="accent2" w:themeFillTint="97"/>
      </w:tcPr>
    </w:tblStylePr>
    <w:tblStylePr w:type="lastRow">
      <w:rPr>
        <w:sz w:val="22"/>
      </w:rPr>
      <w:tblPr/>
      <w:tcPr>
        <w:shd w:val="clear" w:color="FFFFFF" w:fill="D99695" w:themeFill="accent2" w:themeFillTint="97"/>
      </w:tcPr>
    </w:tblStylePr>
    <w:tblStylePr w:type="firstCol">
      <w:rPr>
        <w:sz w:val="22"/>
      </w:rPr>
      <w:tblPr/>
      <w:tcPr>
        <w:shd w:val="clear" w:color="FFFFFF" w:fill="D99695" w:themeFill="accent2" w:themeFillTint="97"/>
      </w:tcPr>
    </w:tblStylePr>
    <w:tblStylePr w:type="lastCol">
      <w:rPr>
        <w:sz w:val="22"/>
      </w:rPr>
      <w:tblPr/>
      <w:tcPr>
        <w:shd w:val="clear" w:color="FFFFFF" w:fill="D99695" w:themeFill="accent2" w:themeFillTint="97"/>
      </w:tcPr>
    </w:tblStylePr>
    <w:tblStylePr w:type="band1Vert">
      <w:rPr>
        <w:sz w:val="22"/>
      </w:rPr>
    </w:tblStylePr>
    <w:tblStylePr w:type="band2Vert">
      <w:rPr>
        <w:sz w:val="22"/>
      </w:rPr>
      <w:tblPr/>
      <w:tcPr>
        <w:shd w:val="clear" w:color="FFFFFF" w:fill="F2DCDC" w:themeFill="accent2" w:themeFillTint="32"/>
      </w:tcPr>
    </w:tblStylePr>
    <w:tblStylePr w:type="band1Horz">
      <w:rPr>
        <w:sz w:val="22"/>
      </w:rPr>
    </w:tblStylePr>
    <w:tblStylePr w:type="band2Horz">
      <w:rPr>
        <w:sz w:val="22"/>
      </w:rPr>
      <w:tblPr/>
      <w:tcPr>
        <w:shd w:val="clear" w:color="FFFFFF" w:fill="F2DCDC" w:themeFill="accent2" w:themeFillTint="32"/>
      </w:tcPr>
    </w:tblStylePr>
  </w:style>
  <w:style w:type="table" w:customStyle="1" w:styleId="BorderedLined-Accent3">
    <w:name w:val="Bordered &amp; Lined - Accent 3"/>
    <w:uiPriority w:val="9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CellMar>
        <w:top w:w="0" w:type="dxa"/>
        <w:left w:w="0" w:type="dxa"/>
        <w:bottom w:w="0" w:type="dxa"/>
        <w:right w:w="0" w:type="dxa"/>
      </w:tblCellMar>
    </w:tblPr>
    <w:tblStylePr w:type="firstRow">
      <w:rPr>
        <w:sz w:val="22"/>
      </w:rPr>
      <w:tblPr/>
      <w:tcPr>
        <w:shd w:val="clear" w:color="FFFFFF" w:fill="9ABB59" w:themeFill="accent3" w:themeFillTint="FE"/>
      </w:tcPr>
    </w:tblStylePr>
    <w:tblStylePr w:type="lastRow">
      <w:rPr>
        <w:sz w:val="22"/>
      </w:rPr>
      <w:tblPr/>
      <w:tcPr>
        <w:shd w:val="clear" w:color="FFFFFF" w:fill="9ABB59" w:themeFill="accent3" w:themeFillTint="FE"/>
      </w:tcPr>
    </w:tblStylePr>
    <w:tblStylePr w:type="firstCol">
      <w:rPr>
        <w:sz w:val="22"/>
      </w:rPr>
      <w:tblPr/>
      <w:tcPr>
        <w:shd w:val="clear" w:color="FFFFFF" w:fill="9ABB59" w:themeFill="accent3" w:themeFillTint="FE"/>
      </w:tcPr>
    </w:tblStylePr>
    <w:tblStylePr w:type="lastCol">
      <w:rPr>
        <w:sz w:val="22"/>
      </w:rPr>
      <w:tblPr/>
      <w:tcPr>
        <w:shd w:val="clear" w:color="FFFFFF" w:fill="9ABB59" w:themeFill="accent3" w:themeFillTint="FE"/>
      </w:tcPr>
    </w:tblStylePr>
    <w:tblStylePr w:type="band1Vert">
      <w:rPr>
        <w:sz w:val="22"/>
      </w:rPr>
    </w:tblStylePr>
    <w:tblStylePr w:type="band2Vert">
      <w:rPr>
        <w:sz w:val="22"/>
      </w:rPr>
      <w:tblPr/>
      <w:tcPr>
        <w:shd w:val="clear" w:color="FFFFFF" w:fill="EAF1DC" w:themeFill="accent3" w:themeFillTint="34"/>
      </w:tcPr>
    </w:tblStylePr>
    <w:tblStylePr w:type="band1Horz">
      <w:rPr>
        <w:sz w:val="22"/>
      </w:rPr>
    </w:tblStylePr>
    <w:tblStylePr w:type="band2Horz">
      <w:rPr>
        <w:sz w:val="22"/>
      </w:rPr>
      <w:tblPr/>
      <w:tcPr>
        <w:shd w:val="clear" w:color="FFFFFF" w:fill="EAF1DC" w:themeFill="accent3" w:themeFillTint="34"/>
      </w:tcPr>
    </w:tblStylePr>
  </w:style>
  <w:style w:type="table" w:customStyle="1" w:styleId="BorderedLined-Accent4">
    <w:name w:val="Bordered &amp; Lined - Accent 4"/>
    <w:uiPriority w:val="9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top w:w="0" w:type="dxa"/>
        <w:left w:w="0" w:type="dxa"/>
        <w:bottom w:w="0" w:type="dxa"/>
        <w:right w:w="0" w:type="dxa"/>
      </w:tblCellMar>
    </w:tblPr>
    <w:tblStylePr w:type="firstRow">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tblStylePr w:type="firstCol">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band1Vert">
      <w:rPr>
        <w:sz w:val="22"/>
      </w:rPr>
    </w:tblStylePr>
    <w:tblStylePr w:type="band2Vert">
      <w:rPr>
        <w:sz w:val="22"/>
      </w:rPr>
      <w:tblPr/>
      <w:tcPr>
        <w:shd w:val="clear" w:color="FFFFFF" w:fill="E5DFEC" w:themeFill="accent4" w:themeFillTint="34"/>
      </w:tcPr>
    </w:tblStylePr>
    <w:tblStylePr w:type="band1Horz">
      <w:rPr>
        <w:sz w:val="22"/>
      </w:rPr>
    </w:tblStylePr>
    <w:tblStylePr w:type="band2Horz">
      <w:rPr>
        <w:sz w:val="22"/>
      </w:rPr>
      <w:tblPr/>
      <w:tcPr>
        <w:shd w:val="clear" w:color="FFFFFF" w:fill="E5DFEC" w:themeFill="accent4" w:themeFillTint="34"/>
      </w:tcPr>
    </w:tblStylePr>
  </w:style>
  <w:style w:type="table" w:customStyle="1" w:styleId="BorderedLined-Accent5">
    <w:name w:val="Bordered &amp; Lined - Accent 5"/>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sz w:val="22"/>
      </w:rPr>
      <w:tblPr/>
      <w:tcPr>
        <w:shd w:val="clear" w:color="FFFFFF" w:fill="4BACC6" w:themeFill="accent5"/>
      </w:tcPr>
    </w:tblStylePr>
    <w:tblStylePr w:type="lastRow">
      <w:rPr>
        <w:sz w:val="22"/>
      </w:rPr>
      <w:tblPr/>
      <w:tcPr>
        <w:shd w:val="clear" w:color="FFFFFF" w:fill="4BACC6" w:themeFill="accent5"/>
      </w:tcPr>
    </w:tblStylePr>
    <w:tblStylePr w:type="firstCol">
      <w:rPr>
        <w:sz w:val="22"/>
      </w:rPr>
      <w:tblPr/>
      <w:tcPr>
        <w:shd w:val="clear" w:color="FFFFFF" w:fill="4BACC6" w:themeFill="accent5"/>
      </w:tcPr>
    </w:tblStylePr>
    <w:tblStylePr w:type="lastCol">
      <w:rPr>
        <w:sz w:val="22"/>
      </w:rPr>
      <w:tblPr/>
      <w:tcPr>
        <w:shd w:val="clear" w:color="FFFFFF" w:fill="4BACC6" w:themeFill="accent5"/>
      </w:tcPr>
    </w:tblStylePr>
    <w:tblStylePr w:type="band1Vert">
      <w:rPr>
        <w:sz w:val="22"/>
      </w:rPr>
    </w:tblStylePr>
    <w:tblStylePr w:type="band2Vert">
      <w:rPr>
        <w:sz w:val="22"/>
      </w:rPr>
      <w:tblPr/>
      <w:tcPr>
        <w:shd w:val="clear" w:color="FFFFFF" w:fill="DAEEF3" w:themeFill="accent5" w:themeFillTint="34"/>
      </w:tcPr>
    </w:tblStylePr>
    <w:tblStylePr w:type="band1Horz">
      <w:rPr>
        <w:sz w:val="22"/>
      </w:rPr>
    </w:tblStylePr>
    <w:tblStylePr w:type="band2Horz">
      <w:rPr>
        <w:sz w:val="22"/>
      </w:rPr>
      <w:tblPr/>
      <w:tcPr>
        <w:shd w:val="clear" w:color="FFFFFF" w:fill="DAEEF3" w:themeFill="accent5" w:themeFillTint="34"/>
      </w:tcPr>
    </w:tblStylePr>
  </w:style>
  <w:style w:type="table" w:customStyle="1" w:styleId="BorderedLined-Accent6">
    <w:name w:val="Bordered &amp; Lined - Accent 6"/>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sz w:val="22"/>
      </w:rPr>
      <w:tblPr/>
      <w:tcPr>
        <w:shd w:val="clear" w:color="FFFFFF" w:fill="F79646" w:themeFill="accent6"/>
      </w:tcPr>
    </w:tblStylePr>
    <w:tblStylePr w:type="lastRow">
      <w:rPr>
        <w:sz w:val="22"/>
      </w:rPr>
      <w:tblPr/>
      <w:tcPr>
        <w:shd w:val="clear" w:color="FFFFFF" w:fill="F79646" w:themeFill="accent6"/>
      </w:tcPr>
    </w:tblStylePr>
    <w:tblStylePr w:type="firstCol">
      <w:rPr>
        <w:sz w:val="22"/>
      </w:rPr>
      <w:tblPr/>
      <w:tcPr>
        <w:shd w:val="clear" w:color="FFFFFF" w:fill="F79646" w:themeFill="accent6"/>
      </w:tcPr>
    </w:tblStylePr>
    <w:tblStylePr w:type="lastCol">
      <w:rPr>
        <w:sz w:val="22"/>
      </w:rPr>
      <w:tblPr/>
      <w:tcPr>
        <w:shd w:val="clear" w:color="FFFFFF" w:fill="F79646" w:themeFill="accent6"/>
      </w:tcPr>
    </w:tblStylePr>
    <w:tblStylePr w:type="band1Vert">
      <w:rPr>
        <w:sz w:val="22"/>
      </w:rPr>
    </w:tblStylePr>
    <w:tblStylePr w:type="band2Vert">
      <w:rPr>
        <w:sz w:val="22"/>
      </w:rPr>
      <w:tblPr/>
      <w:tcPr>
        <w:shd w:val="clear" w:color="FFFFFF" w:fill="FDE9D8" w:themeFill="accent6" w:themeFillTint="34"/>
      </w:tcPr>
    </w:tblStylePr>
    <w:tblStylePr w:type="band1Horz">
      <w:rPr>
        <w:sz w:val="22"/>
      </w:rPr>
    </w:tblStylePr>
    <w:tblStylePr w:type="band2Horz">
      <w:rPr>
        <w:sz w:val="22"/>
      </w:rPr>
      <w:tblPr/>
      <w:tcPr>
        <w:shd w:val="clear" w:color="FFFFFF" w:fill="FDE9D8" w:themeFill="accent6" w:themeFillTint="34"/>
      </w:tcPr>
    </w:tblStylePr>
  </w:style>
  <w:style w:type="table" w:customStyle="1" w:styleId="Bordered">
    <w:name w:val="Bordered"/>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cloud.consultant.ru/cloud/cgi/online.cgi?req=doc&amp;amp;base=LAW&amp;amp;n=23886&amp;amp;fld=134&amp;amp;dst=101670&amp;amp;last=1" TargetMode="External"/><Relationship Id="rId21" Type="http://schemas.openxmlformats.org/officeDocument/2006/relationships/hyperlink" Target="https://cloud.consultant.ru/cloud/cgi/online.cgi?req=doc&amp;amp;base=LAW&amp;amp;n=216359&amp;amp;fld=134&amp;amp;dst=100011&amp;amp;last=1" TargetMode="External"/><Relationship Id="rId42" Type="http://schemas.openxmlformats.org/officeDocument/2006/relationships/hyperlink" Target="https://cloud.consultant.ru/cloud/cgi/online.cgi?req=doc&amp;amp;base=LAW&amp;amp;n=301463&amp;amp;fld=134&amp;amp;dst=100011&amp;amp;last=1" TargetMode="External"/><Relationship Id="rId63" Type="http://schemas.openxmlformats.org/officeDocument/2006/relationships/hyperlink" Target="https://cloud.consultant.ru/cloud/cgi/online.cgi?req=doc&amp;amp;base=LAW&amp;amp;n=486219&amp;amp;fld=134&amp;amp;dst=100012&amp;amp;date=31.07.2025&amp;amp;last=1" TargetMode="External"/><Relationship Id="rId84" Type="http://schemas.openxmlformats.org/officeDocument/2006/relationships/hyperlink" Target="https://cloud.consultant.ru/cloud/cgi/online.cgi?req=doc&amp;amp;base=LAW&amp;amp;n=222242&amp;amp;fld=134&amp;amp;dst=1000000001&amp;amp;last=1" TargetMode="External"/><Relationship Id="rId138" Type="http://schemas.openxmlformats.org/officeDocument/2006/relationships/hyperlink" Target="https://cloud.consultant.ru/cloud/cgi/online.cgi?req=doc&amp;amp;base=LAW&amp;amp;n=486219&amp;amp;fld=134&amp;amp;dst=104146&amp;amp;date=26.08.2025&amp;amp;last=1" TargetMode="External"/><Relationship Id="rId159" Type="http://schemas.openxmlformats.org/officeDocument/2006/relationships/footer" Target="footer7.xml"/><Relationship Id="rId170" Type="http://schemas.openxmlformats.org/officeDocument/2006/relationships/footer" Target="footer12.xml"/><Relationship Id="rId191" Type="http://schemas.openxmlformats.org/officeDocument/2006/relationships/header" Target="header22.xml"/><Relationship Id="rId205" Type="http://schemas.openxmlformats.org/officeDocument/2006/relationships/hyperlink" Target="https://cloud.consultant.ru/cloud/cgi/online.cgi?req=doc&amp;amp;base=LAW&amp;amp;n=362627&amp;amp;date=27.05.2025&amp;amp;last=1" TargetMode="External"/><Relationship Id="rId226" Type="http://schemas.openxmlformats.org/officeDocument/2006/relationships/footer" Target="footer34.xml"/><Relationship Id="rId247" Type="http://schemas.openxmlformats.org/officeDocument/2006/relationships/header" Target="header43.xml"/><Relationship Id="rId107" Type="http://schemas.openxmlformats.org/officeDocument/2006/relationships/hyperlink" Target="https://cloud.consultant.ru/cloud/cgi/online.cgi?req=doc&amp;amp;base=LAW&amp;amp;n=362627&amp;amp;fld=134&amp;amp;dst=103559&amp;amp;date=17.09.2025&amp;amp;last=1" TargetMode="External"/><Relationship Id="rId11" Type="http://schemas.openxmlformats.org/officeDocument/2006/relationships/footer" Target="footer1.xml"/><Relationship Id="rId32" Type="http://schemas.openxmlformats.org/officeDocument/2006/relationships/hyperlink" Target="https://cloud.consultant.ru/cloud/cgi/online.cgi?req=doc&amp;amp;base=LAW&amp;amp;n=342876&amp;amp;fld=134&amp;amp;dst=100011&amp;amp;date=30.06.2020&amp;amp;last=1" TargetMode="External"/><Relationship Id="rId53" Type="http://schemas.openxmlformats.org/officeDocument/2006/relationships/hyperlink" Target="https://cloud.consultant.ru/cloud/cgi/online.cgi?req=doc&amp;amp;base=LAW&amp;amp;n=339419&amp;amp;fld=134&amp;amp;dst=100012&amp;amp;date=06.07.2020&amp;amp;last=1" TargetMode="External"/><Relationship Id="rId74" Type="http://schemas.openxmlformats.org/officeDocument/2006/relationships/hyperlink" Target="https://cloud.consultant.ru/cloud/cgi/online.cgi?req=doc&amp;amp;base=LAW&amp;amp;n=210686&amp;amp;fld=134&amp;amp;dst=1000000001&amp;amp;last=1" TargetMode="External"/><Relationship Id="rId128" Type="http://schemas.openxmlformats.org/officeDocument/2006/relationships/hyperlink" Target="https://cloud.consultant.ru/cloud/cgi/online.cgi?req=doc&amp;amp;base=LAW&amp;amp;n=362627&amp;amp;fld=134&amp;amp;dst=103559&amp;amp;date=19.09.2025&amp;amp;last=1" TargetMode="External"/><Relationship Id="rId149" Type="http://schemas.openxmlformats.org/officeDocument/2006/relationships/hyperlink" Target="https://cloud.consultant.ru/cloud/cgi/online.cgi?req=doc&amp;amp;base=LAW&amp;amp;n=424146&amp;amp;fld=134&amp;amp;dst=101631&amp;amp;date=05.05.2023&amp;amp;last=1" TargetMode="External"/><Relationship Id="rId5" Type="http://schemas.openxmlformats.org/officeDocument/2006/relationships/footnotes" Target="footnotes.xml"/><Relationship Id="rId95" Type="http://schemas.openxmlformats.org/officeDocument/2006/relationships/hyperlink" Target="https://cloud.consultant.ru/cloud/cgi/online.cgi?req=doc&amp;amp;base=LAW&amp;amp;n=362627&amp;amp;fld=134&amp;amp;dst=100163&amp;amp;date=12.01.2023&amp;amp;last=1" TargetMode="External"/><Relationship Id="rId160" Type="http://schemas.openxmlformats.org/officeDocument/2006/relationships/footer" Target="footer8.xml"/><Relationship Id="rId181" Type="http://schemas.openxmlformats.org/officeDocument/2006/relationships/footer" Target="footer17.xml"/><Relationship Id="rId216" Type="http://schemas.openxmlformats.org/officeDocument/2006/relationships/hyperlink" Target="https://cloud.consultant.ru/cloud/cgi/online.cgi?req=doc&amp;amp;base=LAW&amp;amp;n=502632&amp;amp;fld=134&amp;amp;dst=100931&amp;amp;date=27.05.2025&amp;amp;last=1" TargetMode="External"/><Relationship Id="rId237" Type="http://schemas.openxmlformats.org/officeDocument/2006/relationships/header" Target="header40.xml"/><Relationship Id="rId22" Type="http://schemas.openxmlformats.org/officeDocument/2006/relationships/hyperlink" Target="https://cloud.consultant.ru/cloud/cgi/online.cgi?req=doc&amp;amp;base=LAW&amp;amp;n=216359&amp;amp;fld=134&amp;amp;dst=100011&amp;amp;last=1" TargetMode="External"/><Relationship Id="rId43" Type="http://schemas.openxmlformats.org/officeDocument/2006/relationships/hyperlink" Target="https://cloud.consultant.ru/cloud/cgi/online.cgi?req=doc&amp;amp;base=LAW&amp;amp;n=301464&amp;amp;fld=134&amp;amp;dst=100011&amp;amp;date=02.10.2019&amp;amp;last=1" TargetMode="External"/><Relationship Id="rId64" Type="http://schemas.openxmlformats.org/officeDocument/2006/relationships/hyperlink" Target="https://cloud.consultant.ru/cloud/cgi/online.cgi?req=doc&amp;amp;base=LAW&amp;amp;n=486219&amp;amp;fld=134&amp;amp;dst=100012&amp;amp;date=31.07.2025&amp;amp;last=1" TargetMode="External"/><Relationship Id="rId118" Type="http://schemas.openxmlformats.org/officeDocument/2006/relationships/hyperlink" Target="https://cloud.consultant.ru/cloud/cgi/online.cgi?req=doc&amp;amp;base=LAW&amp;amp;n=486219&amp;amp;fld=134&amp;amp;dst=104063&amp;amp;date=17.11.2025&amp;amp;last=1" TargetMode="External"/><Relationship Id="rId139" Type="http://schemas.openxmlformats.org/officeDocument/2006/relationships/hyperlink" Target="https://cloud.consultant.ru/cloud/cgi/online.cgi?req=doc&amp;amp;base=LAW&amp;amp;n=486219&amp;amp;fld=134&amp;amp;dst=104152&amp;amp;date=26.08.2025&amp;amp;last=1" TargetMode="External"/><Relationship Id="rId85" Type="http://schemas.openxmlformats.org/officeDocument/2006/relationships/hyperlink" Target="https://cloud.consultant.ru/cloud/cgi/online.cgi?req=doc&amp;amp;base=LAW&amp;amp;n=222242&amp;amp;fld=134&amp;amp;dst=1000000001&amp;amp;last=1" TargetMode="External"/><Relationship Id="rId150" Type="http://schemas.openxmlformats.org/officeDocument/2006/relationships/hyperlink" Target="https://cloud.consultant.ru/cloud/cgi/online.cgi?req=doc&amp;amp;base=LAW&amp;amp;n=424146&amp;amp;fld=134&amp;amp;dst=101631&amp;amp;date=05.05.2023&amp;amp;last=1" TargetMode="External"/><Relationship Id="rId171" Type="http://schemas.openxmlformats.org/officeDocument/2006/relationships/image" Target="media/image3.wmf"/><Relationship Id="rId192" Type="http://schemas.openxmlformats.org/officeDocument/2006/relationships/header" Target="header23.xml"/><Relationship Id="rId206" Type="http://schemas.openxmlformats.org/officeDocument/2006/relationships/hyperlink" Target="https://cloud.consultant.ru/cloud/cgi/online.cgi?req=doc&amp;amp;base=LAW&amp;amp;n=497176&amp;amp;date=27.05.2025&amp;amp;last=1" TargetMode="External"/><Relationship Id="rId227" Type="http://schemas.openxmlformats.org/officeDocument/2006/relationships/footer" Target="footer35.xml"/><Relationship Id="rId248" Type="http://schemas.openxmlformats.org/officeDocument/2006/relationships/header" Target="header44.xml"/><Relationship Id="rId12" Type="http://schemas.openxmlformats.org/officeDocument/2006/relationships/footer" Target="footer2.xml"/><Relationship Id="rId33" Type="http://schemas.openxmlformats.org/officeDocument/2006/relationships/hyperlink" Target="https://cloud.consultant.ru/cloud/cgi/online.cgi?req=doc&amp;amp;base=LAW&amp;amp;n=294182&amp;amp;fld=134&amp;amp;dst=100011&amp;amp;last=1" TargetMode="External"/><Relationship Id="rId108" Type="http://schemas.openxmlformats.org/officeDocument/2006/relationships/hyperlink" Target="https://cloud.consultant.ru/cloud/cgi/online.cgi?req=doc&amp;amp;base=LAW&amp;amp;n=285455&amp;amp;fld=134&amp;amp;dst=101786&amp;amp;last=1" TargetMode="External"/><Relationship Id="rId129" Type="http://schemas.openxmlformats.org/officeDocument/2006/relationships/hyperlink" Target="https://cloud.consultant.ru/cloud/cgi/online.cgi?req=doc&amp;amp;base=LAW&amp;amp;n=486219&amp;amp;fld=134&amp;amp;dst=104108&amp;amp;date=19.09.2025&amp;amp;last=1" TargetMode="External"/><Relationship Id="rId54" Type="http://schemas.openxmlformats.org/officeDocument/2006/relationships/hyperlink" Target="https://cloud.consultant.ru/cloud/cgi/online.cgi?req=doc&amp;amp;base=LAW&amp;amp;n=339419&amp;amp;fld=134&amp;amp;dst=100012&amp;amp;date=06.07.2020&amp;amp;last=1" TargetMode="External"/><Relationship Id="rId75" Type="http://schemas.openxmlformats.org/officeDocument/2006/relationships/hyperlink" Target="https://cloud.consultant.ru/cloud/cgi/online.cgi?req=doc&amp;amp;base=LAW&amp;amp;n=284955&amp;amp;fld=134&amp;amp;dst=100011&amp;amp;last=1" TargetMode="External"/><Relationship Id="rId96" Type="http://schemas.openxmlformats.org/officeDocument/2006/relationships/hyperlink" Target="https://cloud.consultant.ru/cloud/cgi/online.cgi?req=doc&amp;amp;base=LAW&amp;amp;n=424146&amp;amp;fld=134&amp;amp;dst=3190&amp;amp;date=06.09.2023&amp;amp;last=1" TargetMode="External"/><Relationship Id="rId140" Type="http://schemas.openxmlformats.org/officeDocument/2006/relationships/hyperlink" Target="https://cloud.consultant.ru/cloud/cgi/online.cgi?req=doc&amp;amp;base=LAW&amp;amp;n=486219&amp;amp;fld=134&amp;amp;dst=104157&amp;amp;date=26.08.2025&amp;amp;last=1" TargetMode="External"/><Relationship Id="rId161" Type="http://schemas.openxmlformats.org/officeDocument/2006/relationships/header" Target="header9.xml"/><Relationship Id="rId182" Type="http://schemas.openxmlformats.org/officeDocument/2006/relationships/header" Target="header18.xml"/><Relationship Id="rId217" Type="http://schemas.openxmlformats.org/officeDocument/2006/relationships/hyperlink" Target="https://cloud.consultant.ru/cloud/cgi/online.cgi?req=doc&amp;amp;base=LAW&amp;amp;n=502632&amp;amp;fld=134&amp;amp;dst=100943&amp;amp;date=27.05.2025&amp;amp;last=1" TargetMode="External"/><Relationship Id="rId6" Type="http://schemas.openxmlformats.org/officeDocument/2006/relationships/endnotes" Target="endnotes.xml"/><Relationship Id="rId238" Type="http://schemas.openxmlformats.org/officeDocument/2006/relationships/header" Target="header41.xml"/><Relationship Id="rId23" Type="http://schemas.openxmlformats.org/officeDocument/2006/relationships/hyperlink" Target="https://cloud.consultant.ru/cloud/cgi/online.cgi?req=doc&amp;amp;base=LAW&amp;amp;n=216120&amp;amp;fld=134&amp;amp;dst=100011&amp;amp;last=1" TargetMode="External"/><Relationship Id="rId119" Type="http://schemas.openxmlformats.org/officeDocument/2006/relationships/hyperlink" Target="https://cloud.consultant.ru/cloud/cgi/online.cgi?req=doc&amp;amp;base=LAW&amp;amp;n=285455&amp;amp;fld=134&amp;amp;dst=102365&amp;amp;last=1" TargetMode="External"/><Relationship Id="rId44" Type="http://schemas.openxmlformats.org/officeDocument/2006/relationships/hyperlink" Target="https://cloud.consultant.ru/cloud/cgi/online.cgi?req=doc&amp;amp;base=LAW&amp;amp;n=301464&amp;amp;fld=134&amp;amp;dst=100011&amp;amp;date=02.10.2019&amp;amp;last=1" TargetMode="External"/><Relationship Id="rId65" Type="http://schemas.openxmlformats.org/officeDocument/2006/relationships/hyperlink" Target="https://cloud.consultant.ru/cloud/cgi/online.cgi?req=doc&amp;amp;base=LAW&amp;amp;n=492985&amp;amp;fld=134&amp;amp;dst=100011&amp;amp;date=31.07.2025&amp;amp;last=1" TargetMode="External"/><Relationship Id="rId86" Type="http://schemas.openxmlformats.org/officeDocument/2006/relationships/hyperlink" Target="https://cloud.consultant.ru/cloud/cgi/online.cgi?req=doc&amp;amp;base=LAW&amp;amp;n=350539&amp;amp;fld=134&amp;amp;date=17.11.2020&amp;amp;last=1" TargetMode="External"/><Relationship Id="rId130" Type="http://schemas.openxmlformats.org/officeDocument/2006/relationships/hyperlink" Target="https://cloud.consultant.ru/cloud/cgi/online.cgi?req=doc&amp;amp;base=LAW&amp;amp;n=362627&amp;amp;fld=134&amp;amp;dst=103203,1&amp;amp;date=18.09.2025&amp;amp;last=1" TargetMode="External"/><Relationship Id="rId151" Type="http://schemas.openxmlformats.org/officeDocument/2006/relationships/header" Target="header4.xml"/><Relationship Id="rId172" Type="http://schemas.openxmlformats.org/officeDocument/2006/relationships/header" Target="header13.xml"/><Relationship Id="rId193" Type="http://schemas.openxmlformats.org/officeDocument/2006/relationships/footer" Target="footer22.xml"/><Relationship Id="rId207" Type="http://schemas.openxmlformats.org/officeDocument/2006/relationships/hyperlink" Target="https://cloud.consultant.ru/cloud/cgi/online.cgi?req=doc&amp;amp;base=LAW&amp;amp;n=503406&amp;amp;fld=134&amp;amp;dst=100018&amp;amp;date=20.08.2025&amp;amp;last=1" TargetMode="External"/><Relationship Id="rId228" Type="http://schemas.openxmlformats.org/officeDocument/2006/relationships/header" Target="header36.xml"/><Relationship Id="rId249" Type="http://schemas.openxmlformats.org/officeDocument/2006/relationships/footer" Target="footer43.xml"/><Relationship Id="rId13" Type="http://schemas.openxmlformats.org/officeDocument/2006/relationships/header" Target="header3.xml"/><Relationship Id="rId109" Type="http://schemas.openxmlformats.org/officeDocument/2006/relationships/hyperlink" Target="https://cloud.consultant.ru/cloud/cgi/online.cgi?req=doc&amp;amp;base=LAW&amp;amp;n=285455&amp;amp;fld=134&amp;amp;dst=102365&amp;amp;last=1" TargetMode="External"/><Relationship Id="rId34" Type="http://schemas.openxmlformats.org/officeDocument/2006/relationships/hyperlink" Target="https://cloud.consultant.ru/cloud/cgi/online.cgi?req=doc&amp;amp;base=LAW&amp;amp;n=294182&amp;amp;fld=134&amp;amp;dst=100011&amp;amp;last=1" TargetMode="External"/><Relationship Id="rId55" Type="http://schemas.openxmlformats.org/officeDocument/2006/relationships/hyperlink" Target="https://cloud.consultant.ru/cloud/cgi/online.cgi?req=doc&amp;amp;base=LAW&amp;amp;n=339804&amp;amp;fld=134&amp;amp;dst=100012&amp;amp;date=06.07.2020&amp;amp;last=1" TargetMode="External"/><Relationship Id="rId76" Type="http://schemas.openxmlformats.org/officeDocument/2006/relationships/hyperlink" Target="https://cloud.consultant.ru/cloud/cgi/online.cgi?req=doc&amp;amp;base=LAW&amp;amp;n=284955&amp;amp;fld=134&amp;amp;dst=100011&amp;amp;last=1" TargetMode="External"/><Relationship Id="rId97" Type="http://schemas.openxmlformats.org/officeDocument/2006/relationships/hyperlink" Target="https://cloud.consultant.ru/cloud/cgi/online.cgi?req=doc&amp;amp;base=LAW&amp;amp;n=424146&amp;amp;fld=134&amp;amp;dst=3306&amp;amp;date=06.09.2023&amp;amp;last=1" TargetMode="External"/><Relationship Id="rId120" Type="http://schemas.openxmlformats.org/officeDocument/2006/relationships/hyperlink" Target="https://cloud.consultant.ru/cloud/cgi/online.cgi?req=doc&amp;amp;base=LAW&amp;amp;n=285455&amp;amp;fld=134&amp;amp;dst=102365&amp;amp;last=1" TargetMode="External"/><Relationship Id="rId141" Type="http://schemas.openxmlformats.org/officeDocument/2006/relationships/hyperlink" Target="https://cloud.consultant.ru/cloud/cgi/online.cgi?req=doc&amp;amp;base=LAW&amp;amp;n=486219&amp;amp;fld=134&amp;amp;dst=104160&amp;amp;date=26.08.2025&amp;amp;last=1" TargetMode="External"/><Relationship Id="rId7" Type="http://schemas.openxmlformats.org/officeDocument/2006/relationships/hyperlink" Target="https://cloud.consultant.ru/cloud/cgi/online.cgi?req=doc&amp;amp;base=LAW&amp;amp;n=303639&amp;amp;fld=134&amp;amp;dst=100004&amp;amp;last=1" TargetMode="External"/><Relationship Id="rId162" Type="http://schemas.openxmlformats.org/officeDocument/2006/relationships/footer" Target="footer9.xml"/><Relationship Id="rId183" Type="http://schemas.openxmlformats.org/officeDocument/2006/relationships/footer" Target="footer18.xml"/><Relationship Id="rId218" Type="http://schemas.openxmlformats.org/officeDocument/2006/relationships/header" Target="header31.xml"/><Relationship Id="rId239" Type="http://schemas.openxmlformats.org/officeDocument/2006/relationships/footer" Target="footer40.xml"/><Relationship Id="rId250" Type="http://schemas.openxmlformats.org/officeDocument/2006/relationships/footer" Target="footer44.xml"/><Relationship Id="rId24" Type="http://schemas.openxmlformats.org/officeDocument/2006/relationships/hyperlink" Target="https://cloud.consultant.ru/cloud/cgi/online.cgi?req=doc&amp;amp;base=LAW&amp;amp;n=216120&amp;amp;fld=134&amp;amp;dst=100011&amp;amp;last=1" TargetMode="External"/><Relationship Id="rId45" Type="http://schemas.openxmlformats.org/officeDocument/2006/relationships/hyperlink" Target="https://cloud.consultant.ru/cloud/cgi/online.cgi?req=doc&amp;amp;base=LAW&amp;amp;n=306709&amp;amp;fld=134&amp;amp;dst=100011&amp;amp;date=02.10.2019&amp;amp;last=1" TargetMode="External"/><Relationship Id="rId66" Type="http://schemas.openxmlformats.org/officeDocument/2006/relationships/hyperlink" Target="https://cloud.consultant.ru/cloud/cgi/online.cgi?req=doc&amp;amp;base=LAW&amp;amp;n=492985&amp;amp;fld=134&amp;amp;dst=100011&amp;amp;date=31.07.2025&amp;amp;last=1" TargetMode="External"/><Relationship Id="rId87" Type="http://schemas.openxmlformats.org/officeDocument/2006/relationships/hyperlink" Target="https://cloud.consultant.ru/cloud/cgi/online.cgi?req=doc&amp;amp;base=LAW&amp;amp;n=350539&amp;amp;fld=134&amp;amp;date=17.11.2020&amp;amp;last=1" TargetMode="External"/><Relationship Id="rId110" Type="http://schemas.openxmlformats.org/officeDocument/2006/relationships/hyperlink" Target="https://cloud.consultant.ru/cloud/cgi/online.cgi?req=doc&amp;amp;base=LAW&amp;amp;n=285455&amp;amp;fld=134&amp;amp;dst=103559&amp;amp;last=1" TargetMode="External"/><Relationship Id="rId131" Type="http://schemas.openxmlformats.org/officeDocument/2006/relationships/hyperlink" Target="https://cloud.consultant.ru/cloud/cgi/online.cgi?req=doc&amp;amp;base=LAW&amp;amp;n=486219&amp;amp;fld=134&amp;amp;dst=104108&amp;amp;date=26.08.2025&amp;amp;last=1" TargetMode="External"/><Relationship Id="rId152" Type="http://schemas.openxmlformats.org/officeDocument/2006/relationships/header" Target="header5.xml"/><Relationship Id="rId173" Type="http://schemas.openxmlformats.org/officeDocument/2006/relationships/header" Target="header14.xml"/><Relationship Id="rId194" Type="http://schemas.openxmlformats.org/officeDocument/2006/relationships/footer" Target="footer23.xml"/><Relationship Id="rId208" Type="http://schemas.openxmlformats.org/officeDocument/2006/relationships/hyperlink" Target="https://cloud.consultant.ru/cloud/cgi/online.cgi?req=doc&amp;amp;base=LAW&amp;amp;n=502632&amp;amp;fld=134&amp;amp;dst=100931&amp;amp;date=27.05.2025&amp;amp;last=1" TargetMode="External"/><Relationship Id="rId229" Type="http://schemas.openxmlformats.org/officeDocument/2006/relationships/footer" Target="footer36.xml"/><Relationship Id="rId240" Type="http://schemas.openxmlformats.org/officeDocument/2006/relationships/footer" Target="footer41.xml"/><Relationship Id="rId14" Type="http://schemas.openxmlformats.org/officeDocument/2006/relationships/footer" Target="footer3.xml"/><Relationship Id="rId35" Type="http://schemas.openxmlformats.org/officeDocument/2006/relationships/hyperlink" Target="https://cloud.consultant.ru/cloud/cgi/online.cgi?req=doc&amp;amp;base=LAW&amp;amp;n=298348&amp;amp;fld=134&amp;amp;dst=100011&amp;amp;last=1" TargetMode="External"/><Relationship Id="rId56" Type="http://schemas.openxmlformats.org/officeDocument/2006/relationships/hyperlink" Target="https://cloud.consultant.ru/cloud/cgi/online.cgi?req=doc&amp;amp;base=LAW&amp;amp;n=339804&amp;amp;fld=134&amp;amp;dst=100012&amp;amp;date=06.07.2020&amp;amp;last=1" TargetMode="External"/><Relationship Id="rId77" Type="http://schemas.openxmlformats.org/officeDocument/2006/relationships/hyperlink" Target="https://cloud.consultant.ru/cloud/cgi/online.cgi?req=doc&amp;amp;base=LAW&amp;amp;n=284955&amp;amp;fld=134&amp;amp;dst=100011&amp;amp;last=1" TargetMode="External"/><Relationship Id="rId100" Type="http://schemas.openxmlformats.org/officeDocument/2006/relationships/hyperlink" Target="https://cloud.consultant.ru/cloud/cgi/online.cgi?req=doc&amp;amp;base=LAW&amp;amp;n=222242&amp;amp;fld=134&amp;amp;dst=100004&amp;amp;date=04.10.2018&amp;amp;last=1" TargetMode="External"/><Relationship Id="rId8" Type="http://schemas.openxmlformats.org/officeDocument/2006/relationships/hyperlink" Target="https://cloud.consultant.ru/cloud/cgi/online.cgi?req=doc&amp;amp;base=LAW&amp;amp;n=294722&amp;amp;fld=134&amp;amp;dst=100002&amp;amp;last=1" TargetMode="External"/><Relationship Id="rId98" Type="http://schemas.openxmlformats.org/officeDocument/2006/relationships/hyperlink" Target="https://cloud.consultant.ru/cloud/cgi/online.cgi?req=doc&amp;amp;base=LAW&amp;amp;n=424146&amp;amp;fld=134&amp;amp;dst=3190&amp;amp;date=06.09.2023&amp;amp;last=1" TargetMode="External"/><Relationship Id="rId121" Type="http://schemas.openxmlformats.org/officeDocument/2006/relationships/hyperlink" Target="https://cloud.consultant.ru/cloud/cgi/online.cgi?req=doc&amp;amp;base=LAW&amp;amp;n=486219&amp;amp;fld=134&amp;amp;dst=104077&amp;amp;date=26.08.2025&amp;amp;last=1" TargetMode="External"/><Relationship Id="rId142" Type="http://schemas.openxmlformats.org/officeDocument/2006/relationships/hyperlink" Target="https://cloud.consultant.ru/cloud/cgi/online.cgi?req=doc&amp;amp;base=LAW&amp;amp;n=486219&amp;amp;fld=134&amp;amp;dst=104164&amp;amp;date=26.08.2025&amp;amp;last=1" TargetMode="External"/><Relationship Id="rId163" Type="http://schemas.openxmlformats.org/officeDocument/2006/relationships/image" Target="media/image1.wmf"/><Relationship Id="rId184" Type="http://schemas.openxmlformats.org/officeDocument/2006/relationships/header" Target="header19.xml"/><Relationship Id="rId219" Type="http://schemas.openxmlformats.org/officeDocument/2006/relationships/header" Target="header32.xml"/><Relationship Id="rId230" Type="http://schemas.openxmlformats.org/officeDocument/2006/relationships/header" Target="header37.xml"/><Relationship Id="rId251" Type="http://schemas.openxmlformats.org/officeDocument/2006/relationships/header" Target="header45.xml"/><Relationship Id="rId25" Type="http://schemas.openxmlformats.org/officeDocument/2006/relationships/hyperlink" Target="https://cloud.consultant.ru/cloud/cgi/online.cgi?req=doc&amp;amp;base=LAW&amp;amp;n=216118&amp;amp;fld=134&amp;amp;dst=100011&amp;amp;last=1" TargetMode="External"/><Relationship Id="rId46" Type="http://schemas.openxmlformats.org/officeDocument/2006/relationships/hyperlink" Target="https://cloud.consultant.ru/cloud/cgi/online.cgi?req=doc&amp;amp;base=LAW&amp;amp;n=306709&amp;amp;fld=134&amp;amp;dst=100011&amp;amp;date=02.10.2019&amp;amp;last=1" TargetMode="External"/><Relationship Id="rId67" Type="http://schemas.openxmlformats.org/officeDocument/2006/relationships/hyperlink" Target="https://cloud.consultant.ru/cloud/cgi/online.cgi?req=doc&amp;amp;base=LAW&amp;amp;n=187708&amp;amp;fld=134&amp;amp;dst=100008&amp;amp;last=1" TargetMode="External"/><Relationship Id="rId88" Type="http://schemas.openxmlformats.org/officeDocument/2006/relationships/hyperlink" Target="https://cloud.consultant.ru/cloud/cgi/online.cgi?req=doc&amp;amp;base=LAW&amp;amp;n=298372&amp;amp;fld=134&amp;amp;dst=1000000001&amp;amp;last=1" TargetMode="External"/><Relationship Id="rId111" Type="http://schemas.openxmlformats.org/officeDocument/2006/relationships/hyperlink" Target="https://cloud.consultant.ru/cloud/cgi/online.cgi?req=doc&amp;amp;base=LAW&amp;amp;n=285455&amp;amp;fld=134&amp;amp;dst=102365&amp;amp;last=1" TargetMode="External"/><Relationship Id="rId132" Type="http://schemas.openxmlformats.org/officeDocument/2006/relationships/hyperlink" Target="https://cloud.consultant.ru/cloud/cgi/online.cgi?req=doc&amp;amp;base=LAW&amp;amp;n=486219&amp;amp;fld=134&amp;amp;dst=104123&amp;amp;date=26.08.2025&amp;amp;last=1" TargetMode="External"/><Relationship Id="rId153" Type="http://schemas.openxmlformats.org/officeDocument/2006/relationships/footer" Target="footer4.xml"/><Relationship Id="rId174" Type="http://schemas.openxmlformats.org/officeDocument/2006/relationships/footer" Target="footer13.xml"/><Relationship Id="rId195" Type="http://schemas.openxmlformats.org/officeDocument/2006/relationships/header" Target="header24.xml"/><Relationship Id="rId209" Type="http://schemas.openxmlformats.org/officeDocument/2006/relationships/hyperlink" Target="https://cloud.consultant.ru/cloud/cgi/online.cgi?req=doc&amp;amp;base=LAW&amp;amp;n=502632&amp;amp;fld=134&amp;amp;dst=100943&amp;amp;date=27.05.2025&amp;amp;last=1" TargetMode="External"/><Relationship Id="rId220" Type="http://schemas.openxmlformats.org/officeDocument/2006/relationships/footer" Target="footer31.xml"/><Relationship Id="rId241" Type="http://schemas.openxmlformats.org/officeDocument/2006/relationships/header" Target="header42.xml"/><Relationship Id="rId15" Type="http://schemas.openxmlformats.org/officeDocument/2006/relationships/hyperlink" Target="https://cloud.consultant.ru/cloud/cgi/online.cgi?req=doc&amp;amp;base=LAW&amp;amp;n=304193&amp;amp;fld=134&amp;amp;dst=1000000001&amp;amp;last=1" TargetMode="External"/><Relationship Id="rId36" Type="http://schemas.openxmlformats.org/officeDocument/2006/relationships/hyperlink" Target="https://cloud.consultant.ru/cloud/cgi/online.cgi?req=doc&amp;amp;base=LAW&amp;amp;n=298348&amp;amp;fld=134&amp;amp;dst=100011&amp;amp;last=1" TargetMode="External"/><Relationship Id="rId57" Type="http://schemas.openxmlformats.org/officeDocument/2006/relationships/hyperlink" Target="https://cloud.consultant.ru/cloud/cgi/online.cgi?req=doc&amp;amp;base=LAW&amp;amp;n=363015&amp;amp;fld=134&amp;amp;dst=100011&amp;amp;date=20.11.2020&amp;amp;last=1" TargetMode="External"/><Relationship Id="rId78" Type="http://schemas.openxmlformats.org/officeDocument/2006/relationships/hyperlink" Target="https://cloud.consultant.ru/cloud/cgi/online.cgi?req=doc&amp;amp;base=LAW&amp;amp;n=384040&amp;amp;fld=134&amp;amp;dst=100002&amp;amp;date=31.08.2021&amp;amp;last=1" TargetMode="External"/><Relationship Id="rId99" Type="http://schemas.openxmlformats.org/officeDocument/2006/relationships/hyperlink" Target="https://cloud.consultant.ru/cloud/cgi/online.cgi?req=doc&amp;amp;base=LAW&amp;amp;n=424146&amp;amp;fld=134&amp;amp;dst=3306&amp;amp;date=06.09.2023&amp;amp;last=1" TargetMode="External"/><Relationship Id="rId101" Type="http://schemas.openxmlformats.org/officeDocument/2006/relationships/hyperlink" Target="https://cloud.consultant.ru/cloud/cgi/online.cgi?req=doc&amp;amp;base=LAW&amp;amp;n=285455&amp;amp;fld=134&amp;amp;dst=102125&amp;amp;last=1" TargetMode="External"/><Relationship Id="rId122" Type="http://schemas.openxmlformats.org/officeDocument/2006/relationships/hyperlink" Target="https://cloud.consultant.ru/cloud/cgi/online.cgi?req=doc&amp;amp;base=LAW&amp;amp;n=486219&amp;amp;fld=134&amp;amp;dst=104077&amp;amp;date=26.08.2025&amp;amp;last=1" TargetMode="External"/><Relationship Id="rId143" Type="http://schemas.openxmlformats.org/officeDocument/2006/relationships/hyperlink" Target="https://cloud.consultant.ru/cloud/cgi/online.cgi?req=doc&amp;amp;base=LAW&amp;amp;n=486219&amp;amp;fld=134&amp;amp;dst=104164&amp;amp;date=19.09.2025&amp;amp;last=1" TargetMode="External"/><Relationship Id="rId164" Type="http://schemas.openxmlformats.org/officeDocument/2006/relationships/image" Target="media/image2.wmf"/><Relationship Id="rId185" Type="http://schemas.openxmlformats.org/officeDocument/2006/relationships/header" Target="header20.xml"/><Relationship Id="rId9" Type="http://schemas.openxmlformats.org/officeDocument/2006/relationships/header" Target="header1.xml"/><Relationship Id="rId210" Type="http://schemas.openxmlformats.org/officeDocument/2006/relationships/header" Target="header28.xml"/><Relationship Id="rId26" Type="http://schemas.openxmlformats.org/officeDocument/2006/relationships/hyperlink" Target="https://cloud.consultant.ru/cloud/cgi/online.cgi?req=doc&amp;amp;base=LAW&amp;amp;n=216118&amp;amp;fld=134&amp;amp;dst=100011&amp;amp;last=1" TargetMode="External"/><Relationship Id="rId231" Type="http://schemas.openxmlformats.org/officeDocument/2006/relationships/header" Target="header38.xml"/><Relationship Id="rId252" Type="http://schemas.openxmlformats.org/officeDocument/2006/relationships/footer" Target="footer45.xml"/><Relationship Id="rId47" Type="http://schemas.openxmlformats.org/officeDocument/2006/relationships/hyperlink" Target="https://cloud.consultant.ru/cloud/cgi/online.cgi?req=doc&amp;amp;base=LAW&amp;amp;n=303241&amp;amp;fld=134&amp;amp;dst=100011&amp;amp;date=02.10.2019&amp;amp;last=1" TargetMode="External"/><Relationship Id="rId68" Type="http://schemas.openxmlformats.org/officeDocument/2006/relationships/hyperlink" Target="https://cloud.consultant.ru/cloud/cgi/online.cgi?req=doc&amp;amp;base=LAW&amp;amp;n=187708&amp;amp;fld=134&amp;amp;dst=100008&amp;amp;last=1" TargetMode="External"/><Relationship Id="rId89" Type="http://schemas.openxmlformats.org/officeDocument/2006/relationships/hyperlink" Target="https://cloud.consultant.ru/cloud/cgi/online.cgi?req=doc&amp;amp;base=LAW&amp;amp;n=216119&amp;amp;fld=134&amp;amp;dst=100162&amp;amp;last=1" TargetMode="External"/><Relationship Id="rId112" Type="http://schemas.openxmlformats.org/officeDocument/2006/relationships/hyperlink" Target="https://cloud.consultant.ru/cloud/cgi/online.cgi?req=doc&amp;amp;base=LAW&amp;amp;n=285455&amp;amp;fld=134&amp;amp;dst=101374&amp;amp;last=1" TargetMode="External"/><Relationship Id="rId133" Type="http://schemas.openxmlformats.org/officeDocument/2006/relationships/hyperlink" Target="https://cloud.consultant.ru/cloud/cgi/online.cgi?req=doc&amp;amp;base=LAW&amp;amp;n=486219&amp;amp;fld=134&amp;amp;dst=104123&amp;amp;date=19.09.2025&amp;amp;last=1" TargetMode="External"/><Relationship Id="rId154" Type="http://schemas.openxmlformats.org/officeDocument/2006/relationships/footer" Target="footer5.xml"/><Relationship Id="rId175" Type="http://schemas.openxmlformats.org/officeDocument/2006/relationships/footer" Target="footer14.xml"/><Relationship Id="rId196" Type="http://schemas.openxmlformats.org/officeDocument/2006/relationships/footer" Target="footer24.xml"/><Relationship Id="rId200" Type="http://schemas.openxmlformats.org/officeDocument/2006/relationships/footer" Target="footer26.xml"/><Relationship Id="rId16" Type="http://schemas.openxmlformats.org/officeDocument/2006/relationships/hyperlink" Target="https://cloud.consultant.ru/cloud/cgi/online.cgi?req=doc&amp;amp;base=LAW&amp;amp;n=303639&amp;amp;fld=134&amp;amp;dst=1000000001&amp;amp;last=1" TargetMode="External"/><Relationship Id="rId221" Type="http://schemas.openxmlformats.org/officeDocument/2006/relationships/footer" Target="footer32.xml"/><Relationship Id="rId242" Type="http://schemas.openxmlformats.org/officeDocument/2006/relationships/footer" Target="footer42.xml"/><Relationship Id="rId37" Type="http://schemas.openxmlformats.org/officeDocument/2006/relationships/hyperlink" Target="https://cloud.consultant.ru/cloud/cgi/online.cgi?req=doc&amp;amp;base=LAW&amp;amp;n=343267&amp;amp;fld=134&amp;amp;dst=100011&amp;amp;date=30.06.2020&amp;amp;last=1" TargetMode="External"/><Relationship Id="rId58" Type="http://schemas.openxmlformats.org/officeDocument/2006/relationships/hyperlink" Target="https://cloud.consultant.ru/cloud/cgi/online.cgi?req=doc&amp;amp;base=LAW&amp;amp;n=363015&amp;amp;fld=134&amp;amp;dst=100011&amp;amp;date=20.11.2020&amp;amp;last=1" TargetMode="External"/><Relationship Id="rId79" Type="http://schemas.openxmlformats.org/officeDocument/2006/relationships/hyperlink" Target="https://cloud.consultant.ru/cloud/cgi/online.cgi?req=doc&amp;amp;base=LAW&amp;amp;n=384040&amp;amp;fld=134&amp;amp;dst=100002&amp;amp;date=31.08.2021&amp;amp;last=1" TargetMode="External"/><Relationship Id="rId102" Type="http://schemas.openxmlformats.org/officeDocument/2006/relationships/hyperlink" Target="https://cloud.consultant.ru/cloud/cgi/online.cgi?req=doc&amp;amp;base=LAW&amp;amp;n=362627&amp;amp;fld=134&amp;amp;dst=102125&amp;amp;date=30.09.2025&amp;amp;last=1" TargetMode="External"/><Relationship Id="rId123" Type="http://schemas.openxmlformats.org/officeDocument/2006/relationships/hyperlink" Target="https://cloud.consultant.ru/cloud/cgi/online.cgi?req=doc&amp;amp;base=LAW&amp;amp;n=497176&amp;amp;fld=134&amp;amp;dst=101631&amp;amp;date=18.09.2025&amp;amp;last=1" TargetMode="External"/><Relationship Id="rId144" Type="http://schemas.openxmlformats.org/officeDocument/2006/relationships/hyperlink" Target="https://cloud.consultant.ru/cloud/cgi/online.cgi?req=doc&amp;amp;base=LAW&amp;amp;n=362627&amp;amp;fld=134&amp;amp;dst=103203,1&amp;amp;date=18.09.2025&amp;amp;last=1" TargetMode="External"/><Relationship Id="rId90" Type="http://schemas.openxmlformats.org/officeDocument/2006/relationships/hyperlink" Target="https://cloud.consultant.ru/cloud/cgi/online.cgi?req=doc&amp;amp;base=LAW&amp;amp;n=297398&amp;amp;fld=134&amp;amp;dst=1000000001&amp;amp;last=1" TargetMode="External"/><Relationship Id="rId165" Type="http://schemas.openxmlformats.org/officeDocument/2006/relationships/header" Target="header10.xml"/><Relationship Id="rId186" Type="http://schemas.openxmlformats.org/officeDocument/2006/relationships/footer" Target="footer19.xml"/><Relationship Id="rId211" Type="http://schemas.openxmlformats.org/officeDocument/2006/relationships/header" Target="header29.xml"/><Relationship Id="rId232" Type="http://schemas.openxmlformats.org/officeDocument/2006/relationships/footer" Target="footer37.xml"/><Relationship Id="rId253" Type="http://schemas.openxmlformats.org/officeDocument/2006/relationships/fontTable" Target="fontTable.xml"/><Relationship Id="rId27" Type="http://schemas.openxmlformats.org/officeDocument/2006/relationships/hyperlink" Target="https://cloud.consultant.ru/cloud/cgi/online.cgi?req=doc&amp;amp;base=LAW&amp;amp;n=298347&amp;amp;fld=134&amp;amp;dst=100011&amp;amp;last=1" TargetMode="External"/><Relationship Id="rId48" Type="http://schemas.openxmlformats.org/officeDocument/2006/relationships/hyperlink" Target="https://cloud.consultant.ru/cloud/cgi/online.cgi?req=doc&amp;amp;base=LAW&amp;amp;n=303241&amp;amp;fld=134&amp;amp;dst=100011&amp;amp;date=02.10.2019&amp;amp;last=1" TargetMode="External"/><Relationship Id="rId69" Type="http://schemas.openxmlformats.org/officeDocument/2006/relationships/hyperlink" Target="https://cloud.consultant.ru/cloud/cgi/online.cgi?req=doc&amp;amp;base=LAW&amp;amp;n=294722&amp;amp;fld=134&amp;amp;dst=100015&amp;amp;last=1" TargetMode="External"/><Relationship Id="rId113" Type="http://schemas.openxmlformats.org/officeDocument/2006/relationships/hyperlink" Target="https://cloud.consultant.ru/cloud/cgi/online.cgi?req=doc&amp;amp;base=LAW&amp;amp;n=285455&amp;amp;fld=134&amp;amp;dst=101477&amp;amp;last=1" TargetMode="External"/><Relationship Id="rId134" Type="http://schemas.openxmlformats.org/officeDocument/2006/relationships/hyperlink" Target="https://cloud.consultant.ru/cloud/cgi/online.cgi?req=doc&amp;amp;base=LAW&amp;amp;n=362627&amp;amp;fld=134&amp;amp;dst=103559&amp;amp;date=19.09.2025&amp;amp;last=1" TargetMode="External"/><Relationship Id="rId80" Type="http://schemas.openxmlformats.org/officeDocument/2006/relationships/hyperlink" Target="https://cloud.consultant.ru/cloud/cgi/online.cgi?req=doc&amp;amp;base=LAW&amp;amp;n=418512&amp;amp;fld=134&amp;amp;dst=100025&amp;amp;date=24.08.2022&amp;amp;last=1" TargetMode="External"/><Relationship Id="rId155" Type="http://schemas.openxmlformats.org/officeDocument/2006/relationships/header" Target="header6.xml"/><Relationship Id="rId176" Type="http://schemas.openxmlformats.org/officeDocument/2006/relationships/header" Target="header15.xml"/><Relationship Id="rId197" Type="http://schemas.openxmlformats.org/officeDocument/2006/relationships/header" Target="header25.xml"/><Relationship Id="rId201" Type="http://schemas.openxmlformats.org/officeDocument/2006/relationships/header" Target="header27.xml"/><Relationship Id="rId222" Type="http://schemas.openxmlformats.org/officeDocument/2006/relationships/header" Target="header33.xml"/><Relationship Id="rId243" Type="http://schemas.openxmlformats.org/officeDocument/2006/relationships/hyperlink" Target="https://cloud.consultant.ru/cloud/cgi/online.cgi?req=doc&amp;amp;base=LAW&amp;amp;n=486219&amp;amp;fld=134&amp;amp;dst=104108&amp;amp;date=10.09.2025&amp;amp;last=1" TargetMode="External"/><Relationship Id="rId17" Type="http://schemas.openxmlformats.org/officeDocument/2006/relationships/hyperlink" Target="https://cloud.consultant.ru/cloud/cgi/online.cgi?req=doc&amp;amp;base=LAW&amp;amp;n=216121&amp;amp;fld=134&amp;amp;dst=100011&amp;amp;last=1" TargetMode="External"/><Relationship Id="rId38" Type="http://schemas.openxmlformats.org/officeDocument/2006/relationships/hyperlink" Target="https://cloud.consultant.ru/cloud/cgi/online.cgi?req=doc&amp;amp;base=LAW&amp;amp;n=343267&amp;amp;fld=134&amp;amp;dst=100011&amp;amp;date=30.06.2020&amp;amp;last=1" TargetMode="External"/><Relationship Id="rId59" Type="http://schemas.openxmlformats.org/officeDocument/2006/relationships/hyperlink" Target="https://cloud.consultant.ru/cloud/cgi/online.cgi?req=doc&amp;amp;base=LAW&amp;amp;n=367737&amp;amp;fld=134&amp;amp;dst=100012&amp;amp;date=31.08.2021&amp;amp;last=1" TargetMode="External"/><Relationship Id="rId103" Type="http://schemas.openxmlformats.org/officeDocument/2006/relationships/hyperlink" Target="https://cloud.consultant.ru/cloud/cgi/online.cgi?req=doc&amp;amp;base=LAW&amp;amp;n=324349&amp;amp;fld=134&amp;amp;dst=1000000001&amp;amp;date=13.12.2019&amp;amp;last=1" TargetMode="External"/><Relationship Id="rId124" Type="http://schemas.openxmlformats.org/officeDocument/2006/relationships/hyperlink" Target="https://cloud.consultant.ru/cloud/cgi/online.cgi?req=doc&amp;amp;base=LAW&amp;amp;n=486219&amp;amp;fld=134&amp;amp;dst=104082&amp;amp;date=26.08.2025&amp;amp;last=1" TargetMode="External"/><Relationship Id="rId70" Type="http://schemas.openxmlformats.org/officeDocument/2006/relationships/hyperlink" Target="https://cloud.consultant.ru/cloud/cgi/online.cgi?req=doc&amp;amp;base=LAW&amp;amp;n=294722&amp;amp;fld=134&amp;amp;dst=100015&amp;amp;last=1" TargetMode="External"/><Relationship Id="rId91" Type="http://schemas.openxmlformats.org/officeDocument/2006/relationships/hyperlink" Target="https://cloud.consultant.ru/cloud/cgi/online.cgi?req=doc&amp;amp;base=LAW&amp;amp;n=424146&amp;amp;fld=134&amp;amp;dst=1244&amp;amp;date=11.01.2023&amp;amp;last=1" TargetMode="External"/><Relationship Id="rId145" Type="http://schemas.openxmlformats.org/officeDocument/2006/relationships/hyperlink" Target="https://cloud.consultant.ru/cloud/cgi/online.cgi?req=doc&amp;amp;base=LAW&amp;amp;n=486219&amp;amp;fld=134&amp;amp;dst=104181&amp;amp;date=19.09.2025&amp;amp;last=1" TargetMode="External"/><Relationship Id="rId166" Type="http://schemas.openxmlformats.org/officeDocument/2006/relationships/header" Target="header11.xml"/><Relationship Id="rId187" Type="http://schemas.openxmlformats.org/officeDocument/2006/relationships/footer" Target="footer20.xml"/><Relationship Id="rId1" Type="http://schemas.openxmlformats.org/officeDocument/2006/relationships/numbering" Target="numbering.xml"/><Relationship Id="rId212" Type="http://schemas.openxmlformats.org/officeDocument/2006/relationships/footer" Target="footer28.xml"/><Relationship Id="rId233" Type="http://schemas.openxmlformats.org/officeDocument/2006/relationships/footer" Target="footer38.xml"/><Relationship Id="rId254" Type="http://schemas.openxmlformats.org/officeDocument/2006/relationships/theme" Target="theme/theme1.xml"/><Relationship Id="rId28" Type="http://schemas.openxmlformats.org/officeDocument/2006/relationships/hyperlink" Target="https://cloud.consultant.ru/cloud/cgi/online.cgi?req=doc&amp;amp;base=LAW&amp;amp;n=298347&amp;amp;fld=134&amp;amp;dst=100011&amp;amp;last=1" TargetMode="External"/><Relationship Id="rId49" Type="http://schemas.openxmlformats.org/officeDocument/2006/relationships/hyperlink" Target="https://cloud.consultant.ru/cloud/cgi/online.cgi?req=doc&amp;amp;base=LAW&amp;amp;n=315851&amp;amp;fld=134&amp;amp;dst=100011&amp;amp;date=02.10.2019&amp;amp;last=1" TargetMode="External"/><Relationship Id="rId114" Type="http://schemas.openxmlformats.org/officeDocument/2006/relationships/hyperlink" Target="https://cloud.consultant.ru/cloud/cgi/online.cgi?req=doc&amp;amp;base=LAW&amp;amp;n=285455&amp;amp;fld=134&amp;amp;dst=101878&amp;amp;last=1" TargetMode="External"/><Relationship Id="rId60" Type="http://schemas.openxmlformats.org/officeDocument/2006/relationships/hyperlink" Target="https://cloud.consultant.ru/cloud/cgi/online.cgi?req=doc&amp;amp;base=LAW&amp;amp;n=367737&amp;amp;fld=134&amp;amp;dst=100012&amp;amp;date=31.08.2021&amp;amp;last=1" TargetMode="External"/><Relationship Id="rId81" Type="http://schemas.openxmlformats.org/officeDocument/2006/relationships/hyperlink" Target="https://cloud.consultant.ru/cloud/cgi/online.cgi?req=doc&amp;amp;base=LAW&amp;amp;n=418512&amp;amp;fld=134&amp;amp;dst=100025&amp;amp;date=24.08.2022&amp;amp;last=1" TargetMode="External"/><Relationship Id="rId135" Type="http://schemas.openxmlformats.org/officeDocument/2006/relationships/hyperlink" Target="https://cloud.consultant.ru/cloud/cgi/online.cgi?req=doc&amp;amp;base=LAW&amp;amp;n=486219&amp;amp;fld=134&amp;amp;dst=104146&amp;amp;date=26.08.2025&amp;amp;last=1" TargetMode="External"/><Relationship Id="rId156" Type="http://schemas.openxmlformats.org/officeDocument/2006/relationships/footer" Target="footer6.xml"/><Relationship Id="rId177" Type="http://schemas.openxmlformats.org/officeDocument/2006/relationships/footer" Target="footer15.xml"/><Relationship Id="rId198" Type="http://schemas.openxmlformats.org/officeDocument/2006/relationships/header" Target="header26.xml"/><Relationship Id="rId202" Type="http://schemas.openxmlformats.org/officeDocument/2006/relationships/footer" Target="footer27.xml"/><Relationship Id="rId223" Type="http://schemas.openxmlformats.org/officeDocument/2006/relationships/footer" Target="footer33.xml"/><Relationship Id="rId244" Type="http://schemas.openxmlformats.org/officeDocument/2006/relationships/hyperlink" Target="https://cloud.consultant.ru/cloud/cgi/online.cgi?req=doc&amp;amp;base=LAW&amp;amp;n=486219&amp;amp;fld=134&amp;amp;dst=104108&amp;amp;date=10.09.2025&amp;amp;last=1" TargetMode="External"/><Relationship Id="rId18" Type="http://schemas.openxmlformats.org/officeDocument/2006/relationships/hyperlink" Target="https://cloud.consultant.ru/cloud/cgi/online.cgi?req=doc&amp;amp;base=LAW&amp;amp;n=216121&amp;amp;fld=134&amp;amp;dst=100011&amp;amp;last=1" TargetMode="External"/><Relationship Id="rId39" Type="http://schemas.openxmlformats.org/officeDocument/2006/relationships/hyperlink" Target="https://cloud.consultant.ru/cloud/cgi/online.cgi?req=doc&amp;amp;base=LAW&amp;amp;n=298707&amp;amp;fld=134&amp;amp;dst=100011&amp;amp;date=02.10.2019&amp;amp;last=1" TargetMode="External"/><Relationship Id="rId50" Type="http://schemas.openxmlformats.org/officeDocument/2006/relationships/hyperlink" Target="https://cloud.consultant.ru/cloud/cgi/online.cgi?req=doc&amp;amp;base=LAW&amp;amp;n=315851&amp;amp;fld=134&amp;amp;dst=100011&amp;amp;date=02.10.2019&amp;amp;last=1" TargetMode="External"/><Relationship Id="rId104" Type="http://schemas.openxmlformats.org/officeDocument/2006/relationships/hyperlink" Target="https://cloud.consultant.ru/cloud/cgi/online.cgi?req=doc&amp;amp;base=LAW&amp;amp;n=285455&amp;amp;fld=134&amp;amp;dst=104247&amp;amp;last=1" TargetMode="External"/><Relationship Id="rId125" Type="http://schemas.openxmlformats.org/officeDocument/2006/relationships/hyperlink" Target="https://cloud.consultant.ru/cloud/cgi/online.cgi?req=doc&amp;amp;base=LAW&amp;amp;n=486219&amp;amp;fld=134&amp;amp;dst=104089&amp;amp;date=26.08.2025&amp;amp;last=1" TargetMode="External"/><Relationship Id="rId146" Type="http://schemas.openxmlformats.org/officeDocument/2006/relationships/hyperlink" Target="https://cloud.consultant.ru/cloud/cgi/online.cgi?req=doc&amp;amp;base=LAW&amp;amp;n=362627&amp;amp;fld=134&amp;amp;dst=103203,1&amp;amp;date=18.09.2025&amp;amp;last=1" TargetMode="External"/><Relationship Id="rId167" Type="http://schemas.openxmlformats.org/officeDocument/2006/relationships/footer" Target="footer10.xml"/><Relationship Id="rId188" Type="http://schemas.openxmlformats.org/officeDocument/2006/relationships/header" Target="header21.xml"/><Relationship Id="rId71" Type="http://schemas.openxmlformats.org/officeDocument/2006/relationships/hyperlink" Target="https://cloud.consultant.ru/cloud/cgi/online.cgi?req=doc&amp;amp;base=LAW&amp;amp;n=285455&amp;amp;fld=134&amp;amp;dst=1000000001&amp;amp;last=1" TargetMode="External"/><Relationship Id="rId92" Type="http://schemas.openxmlformats.org/officeDocument/2006/relationships/hyperlink" Target="https://cloud.consultant.ru/cloud/cgi/online.cgi?req=doc&amp;amp;base=LAW&amp;amp;n=285455&amp;amp;fld=134&amp;amp;dst=100301&amp;amp;last=1" TargetMode="External"/><Relationship Id="rId213" Type="http://schemas.openxmlformats.org/officeDocument/2006/relationships/footer" Target="footer29.xml"/><Relationship Id="rId234" Type="http://schemas.openxmlformats.org/officeDocument/2006/relationships/header" Target="header39.xml"/><Relationship Id="rId2" Type="http://schemas.openxmlformats.org/officeDocument/2006/relationships/styles" Target="styles.xml"/><Relationship Id="rId29" Type="http://schemas.openxmlformats.org/officeDocument/2006/relationships/hyperlink" Target="https://cloud.consultant.ru/cloud/cgi/online.cgi?req=doc&amp;amp;base=LAW&amp;amp;n=298372&amp;amp;fld=134&amp;amp;dst=100011&amp;amp;last=1" TargetMode="External"/><Relationship Id="rId40" Type="http://schemas.openxmlformats.org/officeDocument/2006/relationships/hyperlink" Target="https://cloud.consultant.ru/cloud/cgi/online.cgi?req=doc&amp;amp;base=LAW&amp;amp;n=298707&amp;amp;fld=134&amp;amp;dst=100011&amp;amp;date=02.10.2019&amp;amp;last=1" TargetMode="External"/><Relationship Id="rId115" Type="http://schemas.openxmlformats.org/officeDocument/2006/relationships/hyperlink" Target="https://cloud.consultant.ru/cloud/cgi/online.cgi?req=doc&amp;amp;base=LAW&amp;amp;n=285455&amp;amp;fld=134&amp;amp;dst=102365&amp;amp;last=1" TargetMode="External"/><Relationship Id="rId136" Type="http://schemas.openxmlformats.org/officeDocument/2006/relationships/hyperlink" Target="https://cloud.consultant.ru/cloud/cgi/online.cgi?req=doc&amp;amp;base=LAW&amp;amp;n=486219&amp;amp;fld=134&amp;amp;dst=104152&amp;amp;date=26.08.2025&amp;amp;last=1" TargetMode="External"/><Relationship Id="rId157" Type="http://schemas.openxmlformats.org/officeDocument/2006/relationships/header" Target="header7.xml"/><Relationship Id="rId178" Type="http://schemas.openxmlformats.org/officeDocument/2006/relationships/header" Target="header16.xml"/><Relationship Id="rId61" Type="http://schemas.openxmlformats.org/officeDocument/2006/relationships/hyperlink" Target="https://cloud.consultant.ru/cloud/cgi/online.cgi?req=doc&amp;amp;base=LAW&amp;amp;n=390430&amp;amp;fld=134&amp;amp;dst=100011&amp;amp;date=25.08.2022&amp;amp;last=1" TargetMode="External"/><Relationship Id="rId82" Type="http://schemas.openxmlformats.org/officeDocument/2006/relationships/hyperlink" Target="https://cloud.consultant.ru/cloud/cgi/online.cgi?req=doc&amp;amp;base=LAW&amp;amp;n=303311&amp;amp;fld=134&amp;amp;dst=100008&amp;amp;last=1" TargetMode="External"/><Relationship Id="rId199" Type="http://schemas.openxmlformats.org/officeDocument/2006/relationships/footer" Target="footer25.xml"/><Relationship Id="rId203" Type="http://schemas.openxmlformats.org/officeDocument/2006/relationships/hyperlink" Target="https://cloud.consultant.ru/cloud/cgi/online.cgi?req=doc&amp;amp;base=LAW&amp;amp;n=473304&amp;amp;date=27.05.2025&amp;amp;last=1" TargetMode="External"/><Relationship Id="rId19" Type="http://schemas.openxmlformats.org/officeDocument/2006/relationships/hyperlink" Target="https://cloud.consultant.ru/cloud/cgi/online.cgi?req=doc&amp;amp;base=LAW&amp;amp;n=216119&amp;amp;fld=134&amp;amp;dst=100011&amp;amp;last=1" TargetMode="External"/><Relationship Id="rId224" Type="http://schemas.openxmlformats.org/officeDocument/2006/relationships/header" Target="header34.xml"/><Relationship Id="rId245" Type="http://schemas.openxmlformats.org/officeDocument/2006/relationships/hyperlink" Target="https://cloud.consultant.ru/cloud/cgi/online.cgi?req=doc&amp;amp;base=LAW&amp;amp;n=486219&amp;amp;fld=134&amp;amp;dst=104108&amp;amp;date=10.09.2025&amp;amp;last=1" TargetMode="External"/><Relationship Id="rId30" Type="http://schemas.openxmlformats.org/officeDocument/2006/relationships/hyperlink" Target="https://cloud.consultant.ru/cloud/cgi/online.cgi?req=doc&amp;amp;base=LAW&amp;amp;n=298372&amp;amp;fld=134&amp;amp;dst=100011&amp;amp;last=1" TargetMode="External"/><Relationship Id="rId105" Type="http://schemas.openxmlformats.org/officeDocument/2006/relationships/hyperlink" Target="https://cloud.consultant.ru/cloud/cgi/online.cgi?req=doc&amp;amp;base=LAW&amp;amp;n=285455&amp;amp;fld=134&amp;amp;dst=104247&amp;amp;last=1" TargetMode="External"/><Relationship Id="rId126" Type="http://schemas.openxmlformats.org/officeDocument/2006/relationships/hyperlink" Target="https://cloud.consultant.ru/cloud/cgi/online.cgi?req=doc&amp;amp;base=LAW&amp;amp;n=486219&amp;amp;fld=134&amp;amp;dst=104095&amp;amp;date=26.08.2025&amp;amp;last=1" TargetMode="External"/><Relationship Id="rId147" Type="http://schemas.openxmlformats.org/officeDocument/2006/relationships/hyperlink" Target="https://cloud.consultant.ru/cloud/cgi/online.cgi?req=doc&amp;amp;base=LAW&amp;amp;n=486219&amp;amp;fld=134&amp;amp;dst=104185&amp;amp;date=19.09.2025&amp;amp;last=1" TargetMode="External"/><Relationship Id="rId168" Type="http://schemas.openxmlformats.org/officeDocument/2006/relationships/footer" Target="footer11.xml"/><Relationship Id="rId51" Type="http://schemas.openxmlformats.org/officeDocument/2006/relationships/hyperlink" Target="https://cloud.consultant.ru/cloud/cgi/online.cgi?req=doc&amp;amp;base=LAW&amp;amp;n=343973&amp;amp;fld=134&amp;amp;dst=100011&amp;amp;date=31.08.2021&amp;amp;last=1" TargetMode="External"/><Relationship Id="rId72" Type="http://schemas.openxmlformats.org/officeDocument/2006/relationships/hyperlink" Target="https://cloud.consultant.ru/cloud/cgi/online.cgi?req=doc&amp;amp;base=LAW&amp;amp;n=285455&amp;amp;fld=134&amp;amp;dst=1000000001&amp;amp;last=1" TargetMode="External"/><Relationship Id="rId93" Type="http://schemas.openxmlformats.org/officeDocument/2006/relationships/hyperlink" Target="https://cloud.consultant.ru/cloud/cgi/online.cgi?req=doc&amp;amp;base=LAW&amp;amp;n=339419&amp;amp;fld=134&amp;amp;dst=100038&amp;amp;date=08.08.2025&amp;amp;last=1" TargetMode="External"/><Relationship Id="rId189" Type="http://schemas.openxmlformats.org/officeDocument/2006/relationships/footer" Target="footer21.xml"/><Relationship Id="rId3" Type="http://schemas.openxmlformats.org/officeDocument/2006/relationships/settings" Target="settings.xml"/><Relationship Id="rId214" Type="http://schemas.openxmlformats.org/officeDocument/2006/relationships/header" Target="header30.xml"/><Relationship Id="rId235" Type="http://schemas.openxmlformats.org/officeDocument/2006/relationships/footer" Target="footer39.xml"/><Relationship Id="rId116" Type="http://schemas.openxmlformats.org/officeDocument/2006/relationships/hyperlink" Target="https://cloud.consultant.ru/cloud/cgi/online.cgi?req=doc&amp;amp;base=LAW&amp;amp;n=362627&amp;amp;fld=134&amp;amp;dst=102021&amp;amp;date=21.04.2023&amp;amp;last=1" TargetMode="External"/><Relationship Id="rId137" Type="http://schemas.openxmlformats.org/officeDocument/2006/relationships/hyperlink" Target="https://cloud.consultant.ru/cloud/cgi/online.cgi?req=doc&amp;amp;base=LAW&amp;amp;n=285455&amp;amp;fld=134&amp;amp;dst=103559&amp;amp;date=25.10.2018&amp;amp;last=1" TargetMode="External"/><Relationship Id="rId158" Type="http://schemas.openxmlformats.org/officeDocument/2006/relationships/header" Target="header8.xml"/><Relationship Id="rId20" Type="http://schemas.openxmlformats.org/officeDocument/2006/relationships/hyperlink" Target="https://cloud.consultant.ru/cloud/cgi/online.cgi?req=doc&amp;amp;base=LAW&amp;amp;n=216119&amp;amp;fld=134&amp;amp;dst=100011&amp;amp;last=1" TargetMode="External"/><Relationship Id="rId41" Type="http://schemas.openxmlformats.org/officeDocument/2006/relationships/hyperlink" Target="https://cloud.consultant.ru/cloud/cgi/online.cgi?req=doc&amp;amp;base=LAW&amp;amp;n=301463&amp;amp;fld=134&amp;amp;dst=100011&amp;amp;last=1" TargetMode="External"/><Relationship Id="rId62" Type="http://schemas.openxmlformats.org/officeDocument/2006/relationships/hyperlink" Target="https://cloud.consultant.ru/cloud/cgi/online.cgi?req=doc&amp;amp;base=LAW&amp;amp;n=390430&amp;amp;fld=134&amp;amp;dst=100011&amp;amp;date=25.08.2022&amp;amp;last=1" TargetMode="External"/><Relationship Id="rId83" Type="http://schemas.openxmlformats.org/officeDocument/2006/relationships/hyperlink" Target="https://cloud.consultant.ru/cloud/cgi/online.cgi?req=doc&amp;amp;base=LAW&amp;amp;n=303311&amp;amp;fld=134&amp;amp;dst=100008&amp;amp;last=1" TargetMode="External"/><Relationship Id="rId179" Type="http://schemas.openxmlformats.org/officeDocument/2006/relationships/header" Target="header17.xml"/><Relationship Id="rId190" Type="http://schemas.openxmlformats.org/officeDocument/2006/relationships/hyperlink" Target="https://cloud.consultant.ru/cloud/cgi/online.cgi?req=doc&amp;amp;base=LAW&amp;amp;n=504848&amp;amp;fld=134&amp;amp;dst=121&amp;amp;date=25.05.2025&amp;amp;last=1" TargetMode="External"/><Relationship Id="rId204" Type="http://schemas.openxmlformats.org/officeDocument/2006/relationships/hyperlink" Target="https://cloud.consultant.ru/cloud/cgi/online.cgi?req=doc&amp;amp;base=LAW&amp;amp;n=486219&amp;amp;fld=134&amp;amp;dst=100012&amp;amp;date=10.09.2025&amp;amp;last=1" TargetMode="External"/><Relationship Id="rId225" Type="http://schemas.openxmlformats.org/officeDocument/2006/relationships/header" Target="header35.xml"/><Relationship Id="rId246" Type="http://schemas.openxmlformats.org/officeDocument/2006/relationships/hyperlink" Target="https://cloud.consultant.ru/cloud/cgi/online.cgi?req=doc&amp;amp;base=LAW&amp;amp;n=323667&amp;amp;fld=134&amp;amp;dst=100020&amp;amp;date=16.05.2019&amp;amp;last=1" TargetMode="External"/><Relationship Id="rId106" Type="http://schemas.openxmlformats.org/officeDocument/2006/relationships/hyperlink" Target="https://cloud.consultant.ru/cloud/cgi/online.cgi?req=doc&amp;amp;base=LAW&amp;amp;n=285455&amp;amp;fld=134&amp;amp;dst=103559&amp;amp;last=1" TargetMode="External"/><Relationship Id="rId127" Type="http://schemas.openxmlformats.org/officeDocument/2006/relationships/hyperlink" Target="https://cloud.consultant.ru/cloud/cgi/online.cgi?req=doc&amp;amp;base=LAW&amp;amp;n=486219&amp;amp;fld=134&amp;amp;dst=104095&amp;amp;date=19.09.2025&amp;amp;last=1" TargetMode="External"/><Relationship Id="rId10" Type="http://schemas.openxmlformats.org/officeDocument/2006/relationships/header" Target="header2.xml"/><Relationship Id="rId31" Type="http://schemas.openxmlformats.org/officeDocument/2006/relationships/hyperlink" Target="https://cloud.consultant.ru/cloud/cgi/online.cgi?req=doc&amp;amp;base=LAW&amp;amp;n=342876&amp;amp;fld=134&amp;amp;dst=100011&amp;amp;date=30.06.2020&amp;amp;last=1" TargetMode="External"/><Relationship Id="rId52" Type="http://schemas.openxmlformats.org/officeDocument/2006/relationships/hyperlink" Target="https://cloud.consultant.ru/cloud/cgi/online.cgi?req=doc&amp;amp;base=LAW&amp;amp;n=343973&amp;amp;fld=134&amp;amp;dst=100011&amp;amp;date=31.08.2021&amp;amp;last=1" TargetMode="External"/><Relationship Id="rId73" Type="http://schemas.openxmlformats.org/officeDocument/2006/relationships/hyperlink" Target="https://cloud.consultant.ru/cloud/cgi/online.cgi?req=doc&amp;amp;base=LAW&amp;amp;n=210686&amp;amp;fld=134&amp;amp;dst=1000000001&amp;amp;last=1" TargetMode="External"/><Relationship Id="rId94" Type="http://schemas.openxmlformats.org/officeDocument/2006/relationships/hyperlink" Target="https://cloud.consultant.ru/cloud/cgi/online.cgi?req=doc&amp;amp;base=LAW&amp;amp;n=362627&amp;amp;fld=134&amp;amp;dst=102390&amp;amp;date=06.09.2023&amp;amp;last=1" TargetMode="External"/><Relationship Id="rId148" Type="http://schemas.openxmlformats.org/officeDocument/2006/relationships/hyperlink" Target="https://cloud.consultant.ru/cloud/cgi/online.cgi?req=doc&amp;amp;base=LAW&amp;amp;n=362627&amp;amp;fld=134&amp;amp;dst=103203,1&amp;amp;date=18.09.2025&amp;amp;last=1" TargetMode="External"/><Relationship Id="rId169" Type="http://schemas.openxmlformats.org/officeDocument/2006/relationships/header" Target="header12.xml"/><Relationship Id="rId4" Type="http://schemas.openxmlformats.org/officeDocument/2006/relationships/webSettings" Target="webSettings.xml"/><Relationship Id="rId180" Type="http://schemas.openxmlformats.org/officeDocument/2006/relationships/footer" Target="footer16.xml"/><Relationship Id="rId215" Type="http://schemas.openxmlformats.org/officeDocument/2006/relationships/footer" Target="footer30.xml"/><Relationship Id="rId236" Type="http://schemas.openxmlformats.org/officeDocument/2006/relationships/hyperlink" Target="https://cloud.consultant.ru/cloud/cgi/online.cgi?req=doc&amp;amp;base=LAW&amp;amp;n=504093&amp;amp;fld=134&amp;amp;dst=100047&amp;amp;date=20.08.2025&amp;amp;last=1"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54</Pages>
  <Words>23950</Words>
  <Characters>136520</Characters>
  <Application>Microsoft Office Word</Application>
  <DocSecurity>0</DocSecurity>
  <Lines>1137</Lines>
  <Paragraphs>320</Paragraphs>
  <ScaleCrop>false</ScaleCrop>
  <HeadingPairs>
    <vt:vector size="2" baseType="variant">
      <vt:variant>
        <vt:lpstr>Название</vt:lpstr>
      </vt:variant>
      <vt:variant>
        <vt:i4>1</vt:i4>
      </vt:variant>
    </vt:vector>
  </HeadingPairs>
  <TitlesOfParts>
    <vt:vector size="1" baseType="lpstr">
      <vt:lpstr>Распоряжение</vt:lpstr>
    </vt:vector>
  </TitlesOfParts>
  <Company/>
  <LinksUpToDate>false</LinksUpToDate>
  <CharactersWithSpaces>160150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dc:title>
  <dc:subject/>
  <dc:creator>Консультант Плюс</dc:creator>
  <dc:description>Консультант Плюс - Конструктор Договоров</dc:description>
  <cp:lastModifiedBy>Храмова Чулпан Ирековна</cp:lastModifiedBy>
  <cp:revision>65</cp:revision>
  <cp:lastPrinted>2026-02-09T09:17:00Z</cp:lastPrinted>
  <dcterms:created xsi:type="dcterms:W3CDTF">2025-12-17T10:19:00Z</dcterms:created>
  <dcterms:modified xsi:type="dcterms:W3CDTF">2026-08-28T12:02:00Z</dcterms:modified>
  <dc:language>ru-RU</dc:language>
</cp:coreProperties>
</file>