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_rels/document.xml.rels" ContentType="application/vnd.openxmlformats-package.relationships+xml"/>
  <Override PartName="/word/fontTable.xml" ContentType="application/vnd.openxmlformats-officedocument.wordprocessingml.fontTable+xml"/>
  <Override PartName="/word/media/image1.png" ContentType="image/png"/>
  <Override PartName="/word/theme/theme1.xml" ContentType="application/vnd.openxmlformats-officedocument.theme+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0" w:after="200"/>
        <w:contextualSpacing/>
        <w:jc w:val="center"/>
        <w:rPr>
          <w:rFonts w:ascii="Times New Roman" w:hAnsi="Times New Roman" w:cs="Times New Roman"/>
          <w:b/>
          <w:sz w:val="24"/>
          <w:szCs w:val="24"/>
        </w:rPr>
      </w:pPr>
      <w:r>
        <w:rPr>
          <w:rFonts w:cs="Times New Roman" w:ascii="Times New Roman" w:hAnsi="Times New Roman"/>
          <w:b/>
          <w:sz w:val="28"/>
          <w:szCs w:val="28"/>
        </w:rPr>
        <w:t xml:space="preserve">Хезмәт тиешенчә күрсәтелмәсә, кулланучыга нишләргә?  </w:t>
      </w:r>
    </w:p>
    <w:p>
      <w:pPr>
        <w:pStyle w:val="Normal"/>
        <w:spacing w:before="0" w:after="200"/>
        <w:contextualSpacing/>
        <w:jc w:val="both"/>
        <w:rPr>
          <w:rFonts w:ascii="Times New Roman" w:hAnsi="Times New Roman" w:cs="Times New Roman"/>
          <w:sz w:val="24"/>
          <w:szCs w:val="24"/>
        </w:rPr>
      </w:pPr>
      <w:r>
        <w:rPr>
          <w:rFonts w:cs="Times New Roman" w:ascii="Times New Roman" w:hAnsi="Times New Roman"/>
          <w:sz w:val="24"/>
          <w:szCs w:val="24"/>
        </w:rPr>
        <w:drawing>
          <wp:anchor behindDoc="0" distT="0" distB="0" distL="0" distR="0" simplePos="0" locked="0" layoutInCell="0" allowOverlap="1" relativeHeight="2">
            <wp:simplePos x="0" y="0"/>
            <wp:positionH relativeFrom="column">
              <wp:posOffset>5080</wp:posOffset>
            </wp:positionH>
            <wp:positionV relativeFrom="paragraph">
              <wp:posOffset>163195</wp:posOffset>
            </wp:positionV>
            <wp:extent cx="3552190" cy="2367280"/>
            <wp:effectExtent l="0" t="0" r="0" b="0"/>
            <wp:wrapSquare wrapText="right"/>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3552190" cy="2367280"/>
                    </a:xfrm>
                    <a:prstGeom prst="rect">
                      <a:avLst/>
                    </a:prstGeom>
                  </pic:spPr>
                </pic:pic>
              </a:graphicData>
            </a:graphic>
          </wp:anchor>
        </w:drawing>
      </w:r>
    </w:p>
    <w:p>
      <w:pPr>
        <w:pStyle w:val="Normal"/>
        <w:spacing w:before="0" w:after="200"/>
        <w:contextualSpacing/>
        <w:jc w:val="both"/>
        <w:rPr>
          <w:rFonts w:ascii="Times New Roman" w:hAnsi="Times New Roman" w:cs="Times New Roman"/>
          <w:sz w:val="24"/>
          <w:szCs w:val="24"/>
        </w:rPr>
      </w:pPr>
      <w:r>
        <w:rPr>
          <w:rFonts w:cs="Times New Roman" w:ascii="Times New Roman" w:hAnsi="Times New Roman"/>
          <w:sz w:val="24"/>
          <w:szCs w:val="24"/>
        </w:rPr>
        <w:tab/>
        <w:t xml:space="preserve">Татарстан Республикасы Дәүләт алкоголь инспекциясенең Чаллы территориаль органының «Кайнар линия» телефонына тиешле сыйфатта хезмәт күрсәтелмәү, аерым алганда, теплицаны тиешенчә әзерләмәү турында кулланучылар мөрәҗәгатьләре килүе </w:t>
      </w:r>
      <w:bookmarkStart w:id="0" w:name="_GoBack"/>
      <w:bookmarkEnd w:id="0"/>
      <w:r>
        <w:rPr>
          <w:rFonts w:cs="Times New Roman" w:ascii="Times New Roman" w:hAnsi="Times New Roman"/>
          <w:sz w:val="24"/>
          <w:szCs w:val="24"/>
        </w:rPr>
        <w:t>дәвам итә.  Әйдәгез тикшерик, мондый очракларда кулланучының нинди хокуклары бар соң?</w:t>
      </w:r>
    </w:p>
    <w:p>
      <w:pPr>
        <w:pStyle w:val="Normal"/>
        <w:spacing w:before="0" w:after="200"/>
        <w:contextualSpacing/>
        <w:jc w:val="both"/>
        <w:rPr>
          <w:rFonts w:ascii="Times New Roman" w:hAnsi="Times New Roman" w:cs="Times New Roman"/>
          <w:sz w:val="24"/>
          <w:szCs w:val="24"/>
        </w:rPr>
      </w:pPr>
      <w:r>
        <w:rPr>
          <w:rFonts w:cs="Times New Roman" w:ascii="Times New Roman" w:hAnsi="Times New Roman"/>
          <w:sz w:val="24"/>
          <w:szCs w:val="24"/>
        </w:rPr>
        <w:tab/>
        <w:t>Башта шуны әйтеп үтәсе килә: хезмәт күрсәткәндә кулланучылар һәм башкаручылар арасында барлыкка килә торган мөнәсәбәтләр Россия Федерациясе Гражданлык кодексы (алга таба - РФ ГК), «Кулланучылар хокукларын яклау турында» 1992 елның 07 февралендәге 2300-1 номерлы Россия Федерациясе Законы (алга таба - «Кулланучылар хокукларын яклау турында»гы Закон) нормалары белән җайга салына.</w:t>
      </w:r>
    </w:p>
    <w:p>
      <w:pPr>
        <w:pStyle w:val="Normal"/>
        <w:spacing w:before="0" w:after="200"/>
        <w:contextualSpacing/>
        <w:jc w:val="both"/>
        <w:rPr>
          <w:rFonts w:ascii="Times New Roman" w:hAnsi="Times New Roman" w:cs="Times New Roman"/>
          <w:sz w:val="24"/>
          <w:szCs w:val="24"/>
        </w:rPr>
      </w:pPr>
      <w:r>
        <w:rPr>
          <w:rFonts w:cs="Times New Roman" w:ascii="Times New Roman" w:hAnsi="Times New Roman"/>
          <w:sz w:val="24"/>
          <w:szCs w:val="24"/>
        </w:rPr>
        <w:tab/>
        <w:t>«Кулланучылар хокукларын яклау турында» Законның 4 статьясындагы 1 пункты нигезендә, башкаручы сыйфаты килешүгә туры килә торган эшне башкарырга (хезмәт күрсәтергә) тиеш. Ләкин әгәр кулланучы белән башкаручы арасында сыйфат турында махсус шарт билгеләнмәгән булса, башкаручы әлеге эш яки мондый төрдәге хезмәт кулланыла торган максатлар өчен гадәттә куела торган таләпләр нигезендә эшне башкарырга (хезмәт күрсәтергә) тиеш.</w:t>
      </w:r>
    </w:p>
    <w:p>
      <w:pPr>
        <w:pStyle w:val="Normal"/>
        <w:spacing w:before="0" w:after="200"/>
        <w:contextualSpacing/>
        <w:jc w:val="both"/>
        <w:rPr>
          <w:rFonts w:ascii="Times New Roman" w:hAnsi="Times New Roman" w:cs="Times New Roman"/>
          <w:sz w:val="24"/>
          <w:szCs w:val="24"/>
        </w:rPr>
      </w:pPr>
      <w:r>
        <w:rPr>
          <w:rFonts w:cs="Times New Roman" w:ascii="Times New Roman" w:hAnsi="Times New Roman"/>
          <w:sz w:val="24"/>
          <w:szCs w:val="24"/>
        </w:rPr>
        <w:tab/>
        <w:t>Әгәр башкаручы җитешсезлекләр белән хезмәт күрсәткән булса, кулланучы үз теләге белән Кулланучылар хокукларын яклау турындагы Законның 29 статьясында каралган таләпләрнең берсен куярга хокуклы:</w:t>
      </w:r>
    </w:p>
    <w:p>
      <w:pPr>
        <w:pStyle w:val="Normal"/>
        <w:spacing w:before="0" w:after="200"/>
        <w:contextualSpacing/>
        <w:jc w:val="both"/>
        <w:rPr>
          <w:rFonts w:ascii="Times New Roman" w:hAnsi="Times New Roman" w:cs="Times New Roman"/>
          <w:sz w:val="24"/>
          <w:szCs w:val="24"/>
        </w:rPr>
      </w:pPr>
      <w:r>
        <w:rPr>
          <w:rFonts w:cs="Times New Roman" w:ascii="Times New Roman" w:hAnsi="Times New Roman"/>
          <w:sz w:val="24"/>
          <w:szCs w:val="24"/>
        </w:rPr>
        <w:tab/>
        <w:t>- күрсәтелгән хезмәтнең (башкарылган эшнең) кимчелекләрен түләүсез бетерү;</w:t>
      </w:r>
    </w:p>
    <w:p>
      <w:pPr>
        <w:pStyle w:val="Normal"/>
        <w:spacing w:before="0" w:after="200"/>
        <w:contextualSpacing/>
        <w:jc w:val="both"/>
        <w:rPr>
          <w:rFonts w:ascii="Times New Roman" w:hAnsi="Times New Roman" w:cs="Times New Roman"/>
          <w:sz w:val="24"/>
          <w:szCs w:val="24"/>
        </w:rPr>
      </w:pPr>
      <w:r>
        <w:rPr>
          <w:rFonts w:cs="Times New Roman" w:ascii="Times New Roman" w:hAnsi="Times New Roman"/>
          <w:sz w:val="24"/>
          <w:szCs w:val="24"/>
        </w:rPr>
        <w:tab/>
        <w:t>- хезмәт күрсәтү (эш) өчен билгеләнгән бәяне тиешенчә киметү;</w:t>
      </w:r>
    </w:p>
    <w:p>
      <w:pPr>
        <w:pStyle w:val="Normal"/>
        <w:spacing w:before="0" w:after="200"/>
        <w:contextualSpacing/>
        <w:jc w:val="both"/>
        <w:rPr>
          <w:rFonts w:ascii="Times New Roman" w:hAnsi="Times New Roman" w:cs="Times New Roman"/>
          <w:sz w:val="24"/>
          <w:szCs w:val="24"/>
        </w:rPr>
      </w:pPr>
      <w:r>
        <w:rPr>
          <w:rFonts w:cs="Times New Roman" w:ascii="Times New Roman" w:hAnsi="Times New Roman"/>
          <w:sz w:val="24"/>
          <w:szCs w:val="24"/>
        </w:rPr>
        <w:tab/>
        <w:t>- түләүсез кабат хезмәт күрсәтү (эш башкару);</w:t>
      </w:r>
    </w:p>
    <w:p>
      <w:pPr>
        <w:pStyle w:val="Normal"/>
        <w:spacing w:before="0" w:after="200"/>
        <w:contextualSpacing/>
        <w:jc w:val="both"/>
        <w:rPr>
          <w:rFonts w:ascii="Times New Roman" w:hAnsi="Times New Roman" w:cs="Times New Roman"/>
          <w:sz w:val="24"/>
          <w:szCs w:val="24"/>
        </w:rPr>
      </w:pPr>
      <w:r>
        <w:rPr>
          <w:rFonts w:cs="Times New Roman" w:ascii="Times New Roman" w:hAnsi="Times New Roman"/>
          <w:sz w:val="24"/>
          <w:szCs w:val="24"/>
        </w:rPr>
        <w:tab/>
        <w:t>- күрсәтелгән хезмәтнең (башкарылган эшнең) җитешсезлекләрен үз көчләре белән яисә өченче затлар тарафыннан төзәтү буенча тотылган чыгымнарны каплау.</w:t>
      </w:r>
    </w:p>
    <w:p>
      <w:pPr>
        <w:pStyle w:val="Normal"/>
        <w:spacing w:before="0" w:after="200"/>
        <w:contextualSpacing/>
        <w:jc w:val="both"/>
        <w:rPr>
          <w:rFonts w:ascii="Times New Roman" w:hAnsi="Times New Roman" w:cs="Times New Roman"/>
          <w:sz w:val="24"/>
          <w:szCs w:val="24"/>
        </w:rPr>
      </w:pPr>
      <w:r>
        <w:rPr>
          <w:rFonts w:cs="Times New Roman" w:ascii="Times New Roman" w:hAnsi="Times New Roman"/>
          <w:sz w:val="24"/>
          <w:szCs w:val="24"/>
        </w:rPr>
        <w:tab/>
        <w:t>Әгәр шартнамәдә билгеләнгән срокта күрсәтелгән хезмәтнең (башкарылган эшнең) җитешсезлекләре үтәүче тарафыннан бетерелмәсә, кулланучы шартнамәне үтәүдән баш тартырга һәм зыяннарны тулысынча каплауны таләп итәргә хокуклы. Күрсәтелгән хезмәтнең (башкарылган эшнең) җитди кимчелекләре яисә шартнамә шартларыннан җитди чигенүләре ачыкланса, кулланучы шулай ук шартнамәне үтәүдән баш тартырга хокуклы.</w:t>
      </w:r>
    </w:p>
    <w:p>
      <w:pPr>
        <w:pStyle w:val="Normal"/>
        <w:spacing w:before="0" w:after="200"/>
        <w:contextualSpacing/>
        <w:jc w:val="both"/>
        <w:rPr>
          <w:rFonts w:ascii="Times New Roman" w:hAnsi="Times New Roman" w:cs="Times New Roman"/>
          <w:sz w:val="24"/>
          <w:szCs w:val="24"/>
        </w:rPr>
      </w:pPr>
      <w:r>
        <w:rPr>
          <w:rFonts w:cs="Times New Roman" w:ascii="Times New Roman" w:hAnsi="Times New Roman"/>
          <w:sz w:val="24"/>
          <w:szCs w:val="24"/>
        </w:rPr>
        <w:tab/>
        <w:t>Кулланучылар хокукларын яклау мәсьәләләре буенча консультацияләрне Татарстан Республикасы Дәүләт алкоголь инспекциясенең Яр Чаллы территориаль органының «Кайнар линия» телефоны буенча алырга мөмкин: 71-43-03.</w:t>
      </w:r>
    </w:p>
    <w:p>
      <w:pPr>
        <w:pStyle w:val="Normal"/>
        <w:spacing w:before="0" w:after="200"/>
        <w:contextualSpacing/>
        <w:jc w:val="both"/>
        <w:rPr>
          <w:rFonts w:ascii="Times New Roman" w:hAnsi="Times New Roman" w:cs="Times New Roman"/>
          <w:sz w:val="24"/>
          <w:szCs w:val="24"/>
        </w:rPr>
      </w:pPr>
      <w:r>
        <w:rPr>
          <w:rFonts w:cs="Times New Roman" w:ascii="Times New Roman" w:hAnsi="Times New Roman"/>
          <w:sz w:val="24"/>
          <w:szCs w:val="24"/>
        </w:rPr>
      </w:r>
    </w:p>
    <w:p>
      <w:pPr>
        <w:pStyle w:val="Normal"/>
        <w:spacing w:before="0" w:after="200"/>
        <w:contextualSpacing/>
        <w:jc w:val="right"/>
        <w:rPr>
          <w:rFonts w:ascii="Times New Roman" w:hAnsi="Times New Roman" w:cs="Times New Roman"/>
          <w:b/>
          <w:i/>
          <w:i/>
          <w:sz w:val="24"/>
          <w:szCs w:val="24"/>
        </w:rPr>
      </w:pPr>
      <w:r>
        <w:rPr>
          <w:rFonts w:cs="Times New Roman" w:ascii="Times New Roman" w:hAnsi="Times New Roman"/>
          <w:b/>
          <w:i/>
          <w:sz w:val="24"/>
          <w:szCs w:val="24"/>
        </w:rPr>
        <w:t xml:space="preserve">Татарстан Республикасы Дәүләт алкоголь инспекциясенең </w:t>
      </w:r>
    </w:p>
    <w:p>
      <w:pPr>
        <w:pStyle w:val="Normal"/>
        <w:spacing w:before="0" w:after="200"/>
        <w:contextualSpacing/>
        <w:jc w:val="right"/>
        <w:rPr>
          <w:b/>
          <w:i/>
          <w:i/>
        </w:rPr>
      </w:pPr>
      <w:r>
        <w:rPr>
          <w:b/>
          <w:i/>
        </w:rPr>
        <w:t>Яр Чаллы территориаль органы</w:t>
      </w:r>
    </w:p>
    <w:sectPr>
      <w:type w:val="nextPage"/>
      <w:pgSz w:w="11906" w:h="16838"/>
      <w:pgMar w:left="1701" w:right="850" w:gutter="0" w:header="0" w:top="1134" w:footer="0" w:bottom="1134"/>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PT Astra Serif">
    <w:charset w:val="01"/>
    <w:family w:val="roman"/>
    <w:pitch w:val="default"/>
  </w:font>
  <w:font w:name="Times New Roman">
    <w:charset w:val="01"/>
    <w:family w:val="roman"/>
    <w:pitch w:val="default"/>
  </w:font>
</w:fonts>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paragraph" w:styleId="Style14">
    <w:name w:val="Заголовок"/>
    <w:basedOn w:val="Normal"/>
    <w:next w:val="Style15"/>
    <w:qFormat/>
    <w:pPr>
      <w:keepNext w:val="true"/>
      <w:spacing w:before="240" w:after="120"/>
    </w:pPr>
    <w:rPr>
      <w:rFonts w:ascii="PT Astra Serif" w:hAnsi="PT Astra Serif" w:eastAsia="Tahoma" w:cs="Noto Sans Devanagari"/>
      <w:sz w:val="28"/>
      <w:szCs w:val="28"/>
    </w:rPr>
  </w:style>
  <w:style w:type="paragraph" w:styleId="Style15">
    <w:name w:val="Body Text"/>
    <w:basedOn w:val="Normal"/>
    <w:pPr>
      <w:spacing w:lineRule="auto" w:line="276" w:before="0" w:after="140"/>
    </w:pPr>
    <w:rPr/>
  </w:style>
  <w:style w:type="paragraph" w:styleId="Style16">
    <w:name w:val="List"/>
    <w:basedOn w:val="Style15"/>
    <w:pPr/>
    <w:rPr>
      <w:rFonts w:ascii="PT Astra Serif" w:hAnsi="PT Astra Serif" w:cs="Noto Sans Devanagari"/>
    </w:rPr>
  </w:style>
  <w:style w:type="paragraph" w:styleId="Style17">
    <w:name w:val="Caption"/>
    <w:basedOn w:val="Normal"/>
    <w:qFormat/>
    <w:pPr>
      <w:suppressLineNumbers/>
      <w:spacing w:before="120" w:after="120"/>
    </w:pPr>
    <w:rPr>
      <w:rFonts w:ascii="PT Astra Serif" w:hAnsi="PT Astra Serif" w:cs="Noto Sans Devanagari"/>
      <w:i/>
      <w:iCs/>
      <w:sz w:val="24"/>
      <w:szCs w:val="24"/>
    </w:rPr>
  </w:style>
  <w:style w:type="paragraph" w:styleId="Style18">
    <w:name w:val="Указатель"/>
    <w:basedOn w:val="Normal"/>
    <w:qFormat/>
    <w:pPr>
      <w:suppressLineNumbers/>
    </w:pPr>
    <w:rPr>
      <w:rFonts w:ascii="PT Astra Serif" w:hAnsi="PT Astra Serif" w:cs="Noto Sans Devanagari"/>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Application>LibreOffice/7.5.6.2$Linux_X86_64 LibreOffice_project/50$Build-2</Application>
  <AppVersion>15.0000</AppVersion>
  <Pages>1</Pages>
  <Words>283</Words>
  <Characters>2105</Characters>
  <CharactersWithSpaces>2389</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2025-05-26T06:02:00Z</dcterms:created>
  <dc:creator>Almet</dc:creator>
  <dc:description/>
  <dc:language>ru-RU</dc:language>
  <cp:lastModifiedBy/>
  <dcterms:modified xsi:type="dcterms:W3CDTF">2025-05-26T14:17:46Z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