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color w:val="C9211E"/>
          <w:sz w:val="32"/>
          <w:szCs w:val="32"/>
        </w:rPr>
      </w:pPr>
      <w:r>
        <w:rPr>
          <w:rFonts w:cs="Times New Roman" w:ascii="Times New Roman" w:hAnsi="Times New Roman"/>
          <w:b/>
          <w:bCs/>
          <w:color w:val="C9211E"/>
          <w:sz w:val="32"/>
          <w:szCs w:val="32"/>
        </w:rPr>
        <w:t xml:space="preserve">Цифровая финансовая грамотность для людей «серебряного» возраста. </w:t>
      </w:r>
      <w:r>
        <w:rPr>
          <w:rFonts w:cs="Times New Roman" w:ascii="Times New Roman" w:hAnsi="Times New Roman"/>
          <w:b/>
          <w:color w:val="C9211E"/>
          <w:sz w:val="32"/>
          <w:szCs w:val="32"/>
        </w:rPr>
        <w:t>Безопасное использование смартфона.</w:t>
      </w:r>
    </w:p>
    <w:p>
      <w:pPr>
        <w:pStyle w:val="Normal"/>
        <w:spacing w:lineRule="auto" w:line="240"/>
        <w:jc w:val="center"/>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398010" cy="219900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398010" cy="2199005"/>
                    </a:xfrm>
                    <a:prstGeom prst="rect">
                      <a:avLst/>
                    </a:prstGeom>
                  </pic:spPr>
                </pic:pic>
              </a:graphicData>
            </a:graphic>
          </wp:anchor>
        </w:drawing>
      </w:r>
      <w:r>
        <w:rPr>
          <w:rFonts w:cs="Times New Roman" w:ascii="Times New Roman" w:hAnsi="Times New Roman"/>
          <w:b/>
          <w:bCs/>
          <w:color w:val="C9211E"/>
          <w:sz w:val="28"/>
          <w:szCs w:val="28"/>
        </w:rPr>
        <w:t>СМС «ваша карта заблокирована»</w:t>
      </w:r>
    </w:p>
    <w:p>
      <w:pPr>
        <w:pStyle w:val="Normal"/>
        <w:spacing w:lineRule="auto" w:line="240"/>
        <w:jc w:val="both"/>
        <w:rPr/>
      </w:pPr>
      <w:r>
        <w:rPr>
          <w:rFonts w:cs="Times New Roman" w:ascii="Times New Roman" w:hAnsi="Times New Roman"/>
          <w:b/>
          <w:bCs/>
          <w:sz w:val="28"/>
          <w:szCs w:val="28"/>
        </w:rPr>
        <w:t xml:space="preserve">Как себя защитить? </w:t>
      </w:r>
      <w:r>
        <w:rPr>
          <w:rFonts w:cs="Times New Roman" w:ascii="Times New Roman" w:hAnsi="Times New Roman"/>
          <w:sz w:val="28"/>
          <w:szCs w:val="28"/>
        </w:rPr>
        <w:t>Внимательно читайте текст сообщений, которые поступают на ваш мобильный телефон от банка, выпустившего карту. Если сообщение содержит просьбу перезвонить в банк по незнакомому номеру, игнорируйте его. Перезвоните в банк, который выпустил вашу карту, по номеру, указанному на обратной стороне карты, и сообщите о случившемся. Сотрудники банка проинструктируют вас о дальнейших действиях и предпримут необходимые меры по</w:t>
      </w:r>
      <w:bookmarkStart w:id="0" w:name="_GoBack"/>
      <w:bookmarkEnd w:id="0"/>
      <w:r>
        <w:rPr>
          <w:rFonts w:cs="Times New Roman" w:ascii="Times New Roman" w:hAnsi="Times New Roman"/>
          <w:sz w:val="28"/>
          <w:szCs w:val="28"/>
        </w:rPr>
        <w:t xml:space="preserve"> защите ваших денег.</w:t>
      </w:r>
    </w:p>
    <w:p>
      <w:pPr>
        <w:pStyle w:val="Normal"/>
        <w:spacing w:lineRule="auto" w:line="240"/>
        <w:jc w:val="center"/>
        <w:rPr>
          <w:color w:val="C9211E"/>
        </w:rPr>
      </w:pPr>
      <w:r>
        <w:rPr>
          <w:rFonts w:cs="Times New Roman" w:ascii="Times New Roman" w:hAnsi="Times New Roman"/>
          <w:b/>
          <w:bCs/>
          <w:color w:val="C9211E"/>
          <w:sz w:val="28"/>
          <w:szCs w:val="28"/>
        </w:rPr>
        <w:t>СМС «Кинула деньги на ваш номер случайно»</w:t>
      </w:r>
    </w:p>
    <w:p>
      <w:pPr>
        <w:pStyle w:val="Normal"/>
        <w:spacing w:lineRule="auto" w:line="240"/>
        <w:jc w:val="both"/>
        <w:rPr/>
      </w:pPr>
      <w:r>
        <w:rPr>
          <w:rFonts w:cs="Times New Roman" w:ascii="Times New Roman" w:hAnsi="Times New Roman"/>
          <w:b/>
          <w:bCs/>
          <w:sz w:val="28"/>
          <w:szCs w:val="28"/>
        </w:rPr>
        <w:t>Как себя защитить?</w:t>
      </w:r>
      <w:r>
        <w:rPr>
          <w:rFonts w:cs="Times New Roman" w:ascii="Times New Roman" w:hAnsi="Times New Roman"/>
          <w:bCs/>
          <w:sz w:val="28"/>
          <w:szCs w:val="28"/>
        </w:rPr>
        <w:t xml:space="preserve">  </w:t>
      </w:r>
      <w:r>
        <w:rPr>
          <w:rFonts w:cs="Times New Roman" w:ascii="Times New Roman" w:hAnsi="Times New Roman"/>
          <w:sz w:val="28"/>
          <w:szCs w:val="28"/>
        </w:rPr>
        <w:t>При получении подобного СМС сначала проверьте баланс своего телефона, а только потом принимайте решение о возврате. Кроме того, всегда обращайте внимание, с какого именно короткого номера пришло смс о пополнении счета вашего мобильного телефона. Скорее всего это не номер вашего оператора.</w:t>
      </w:r>
    </w:p>
    <w:p>
      <w:pPr>
        <w:pStyle w:val="Normal"/>
        <w:spacing w:lineRule="auto" w:line="240"/>
        <w:jc w:val="center"/>
        <w:rPr>
          <w:color w:val="C9211E"/>
        </w:rPr>
      </w:pPr>
      <w:r>
        <w:rPr>
          <w:rFonts w:cs="Times New Roman" w:ascii="Times New Roman" w:hAnsi="Times New Roman"/>
          <w:b/>
          <w:bCs/>
          <w:color w:val="C9211E"/>
          <w:sz w:val="28"/>
          <w:szCs w:val="28"/>
        </w:rPr>
        <w:t>СМС «Для просмотра перейдите по ссылке»</w:t>
      </w:r>
    </w:p>
    <w:p>
      <w:pPr>
        <w:pStyle w:val="Normal"/>
        <w:spacing w:lineRule="auto" w:line="240"/>
        <w:jc w:val="both"/>
        <w:rPr/>
      </w:pPr>
      <w:r>
        <w:rPr>
          <w:rFonts w:cs="Times New Roman" w:ascii="Times New Roman" w:hAnsi="Times New Roman"/>
          <w:b/>
          <w:bCs/>
          <w:sz w:val="28"/>
          <w:szCs w:val="28"/>
        </w:rPr>
        <w:t xml:space="preserve">Как себя защитить? </w:t>
      </w:r>
      <w:r>
        <w:rPr>
          <w:rFonts w:cs="Times New Roman" w:ascii="Times New Roman" w:hAnsi="Times New Roman"/>
          <w:sz w:val="28"/>
          <w:szCs w:val="28"/>
        </w:rPr>
        <w:t>Запомните, нельзя переходить по ссылкам, которые пришли от незнакомых абонентов. Все ваши друзья и родственники могут самостоятельно, напрямую, минуя посредников, отправить необходимые документы и фотографии лично вам со своего смартфона. Если вы получили подобное сообщение, удалите его, не открывая. Кроме того, позаботьтесь, чтобы на ваш смартфон был установлен антивирус. Если вам сложно установить антивирус самостоятельно, обратитесь к родственникам.</w:t>
      </w:r>
    </w:p>
    <w:p>
      <w:pPr>
        <w:pStyle w:val="Normal"/>
        <w:spacing w:lineRule="auto" w:line="240"/>
        <w:jc w:val="center"/>
        <w:rPr>
          <w:color w:val="C9211E"/>
        </w:rPr>
      </w:pPr>
      <w:r>
        <w:rPr>
          <w:rFonts w:cs="Times New Roman" w:ascii="Times New Roman" w:hAnsi="Times New Roman"/>
          <w:b/>
          <w:bCs/>
          <w:color w:val="C9211E"/>
          <w:sz w:val="28"/>
          <w:szCs w:val="28"/>
        </w:rPr>
        <w:t>Мошенничество с банковскими картами</w:t>
      </w:r>
    </w:p>
    <w:p>
      <w:pPr>
        <w:pStyle w:val="Normal"/>
        <w:spacing w:lineRule="auto" w:line="240"/>
        <w:rPr/>
      </w:pPr>
      <w:r>
        <w:rPr>
          <w:rFonts w:cs="Times New Roman" w:ascii="Times New Roman" w:hAnsi="Times New Roman"/>
          <w:b/>
          <w:bCs/>
          <w:sz w:val="28"/>
          <w:szCs w:val="28"/>
        </w:rPr>
        <w:t>Как себя защитить?</w:t>
      </w:r>
      <w:r>
        <w:rPr>
          <w:rFonts w:cs="Times New Roman" w:ascii="Times New Roman" w:hAnsi="Times New Roman"/>
          <w:sz w:val="28"/>
          <w:szCs w:val="28"/>
        </w:rPr>
        <w:t xml:space="preserve"> Помните, что для зачисления денег на банковскую карту требуется только ФИО и номер карты получателя. Если у вас просят любые дополнительные данные и личную информацию – вы столкнулись с мошенником. Откажитесь от сделки.</w:t>
      </w:r>
    </w:p>
    <w:p>
      <w:pPr>
        <w:pStyle w:val="TableParagraph"/>
        <w:widowControl w:val="false"/>
        <w:bidi w:val="0"/>
        <w:spacing w:lineRule="auto" w:line="240" w:before="0" w:after="0"/>
        <w:ind w:left="52" w:right="57" w:firstLine="931"/>
        <w:contextualSpacing/>
        <w:jc w:val="right"/>
        <w:rPr>
          <w:b/>
          <w:bCs/>
          <w:i/>
          <w:i/>
          <w:iCs/>
          <w:sz w:val="22"/>
          <w:szCs w:val="22"/>
        </w:rPr>
      </w:pPr>
      <w:r>
        <w:rPr>
          <w:b/>
          <w:bCs/>
          <w:i/>
          <w:iCs/>
          <w:sz w:val="22"/>
          <w:szCs w:val="22"/>
        </w:rPr>
        <w:t>Набережночелнинский</w:t>
      </w:r>
      <w:r>
        <w:rPr>
          <w:b/>
          <w:bCs/>
          <w:i/>
          <w:iCs/>
          <w:spacing w:val="-3"/>
          <w:sz w:val="22"/>
          <w:szCs w:val="22"/>
        </w:rPr>
        <w:t xml:space="preserve"> </w:t>
      </w:r>
      <w:r>
        <w:rPr>
          <w:b/>
          <w:bCs/>
          <w:i/>
          <w:iCs/>
          <w:sz w:val="22"/>
          <w:szCs w:val="22"/>
        </w:rPr>
        <w:t xml:space="preserve">филиал      </w:t>
      </w:r>
    </w:p>
    <w:p>
      <w:pPr>
        <w:pStyle w:val="TableParagraph"/>
        <w:widowControl w:val="false"/>
        <w:bidi w:val="0"/>
        <w:spacing w:lineRule="auto" w:line="240" w:before="0" w:after="0"/>
        <w:ind w:left="52" w:right="57" w:firstLine="931"/>
        <w:contextualSpacing/>
        <w:jc w:val="right"/>
        <w:rPr>
          <w:b/>
          <w:bCs/>
          <w:i/>
          <w:i/>
          <w:iCs/>
          <w:sz w:val="22"/>
          <w:szCs w:val="22"/>
        </w:rPr>
      </w:pPr>
      <w:r>
        <w:rPr>
          <w:b/>
          <w:bCs/>
          <w:i/>
          <w:iCs/>
          <w:sz w:val="22"/>
          <w:szCs w:val="22"/>
        </w:rPr>
        <w:t>Федерального</w:t>
      </w:r>
      <w:r>
        <w:rPr>
          <w:b/>
          <w:bCs/>
          <w:i/>
          <w:iCs/>
          <w:spacing w:val="-10"/>
          <w:sz w:val="22"/>
          <w:szCs w:val="22"/>
        </w:rPr>
        <w:t xml:space="preserve"> </w:t>
      </w:r>
      <w:r>
        <w:rPr>
          <w:b/>
          <w:bCs/>
          <w:i/>
          <w:iCs/>
          <w:sz w:val="22"/>
          <w:szCs w:val="22"/>
        </w:rPr>
        <w:t>бюджетного</w:t>
      </w:r>
      <w:r>
        <w:rPr>
          <w:b/>
          <w:bCs/>
          <w:i/>
          <w:iCs/>
          <w:spacing w:val="-10"/>
          <w:sz w:val="22"/>
          <w:szCs w:val="22"/>
        </w:rPr>
        <w:t xml:space="preserve"> </w:t>
      </w:r>
      <w:r>
        <w:rPr>
          <w:b/>
          <w:bCs/>
          <w:i/>
          <w:iCs/>
          <w:sz w:val="22"/>
          <w:szCs w:val="22"/>
        </w:rPr>
        <w:t>учреждения</w:t>
      </w:r>
      <w:r>
        <w:rPr>
          <w:b/>
          <w:bCs/>
          <w:i/>
          <w:iCs/>
          <w:spacing w:val="-10"/>
          <w:sz w:val="22"/>
          <w:szCs w:val="22"/>
        </w:rPr>
        <w:t xml:space="preserve"> </w:t>
      </w:r>
      <w:r>
        <w:rPr>
          <w:b/>
          <w:bCs/>
          <w:i/>
          <w:iCs/>
          <w:sz w:val="22"/>
          <w:szCs w:val="22"/>
        </w:rPr>
        <w:t>здравоохранения</w:t>
      </w:r>
    </w:p>
    <w:p>
      <w:pPr>
        <w:pStyle w:val="TableParagraph"/>
        <w:widowControl w:val="false"/>
        <w:bidi w:val="0"/>
        <w:spacing w:lineRule="auto" w:line="240" w:before="0" w:after="0"/>
        <w:ind w:left="52" w:right="57" w:firstLine="931"/>
        <w:contextualSpacing/>
        <w:jc w:val="right"/>
        <w:rPr>
          <w:b/>
          <w:bCs/>
          <w:i/>
          <w:i/>
          <w:iCs/>
          <w:sz w:val="22"/>
          <w:szCs w:val="22"/>
        </w:rPr>
      </w:pPr>
      <w:r>
        <w:rPr>
          <w:b/>
          <w:bCs/>
          <w:i/>
          <w:iCs/>
          <w:sz w:val="22"/>
          <w:szCs w:val="22"/>
        </w:rPr>
        <w:t>«Центр</w:t>
      </w:r>
      <w:r>
        <w:rPr>
          <w:b/>
          <w:bCs/>
          <w:i/>
          <w:iCs/>
          <w:spacing w:val="-4"/>
          <w:sz w:val="22"/>
          <w:szCs w:val="22"/>
        </w:rPr>
        <w:t xml:space="preserve"> </w:t>
      </w:r>
      <w:r>
        <w:rPr>
          <w:b/>
          <w:bCs/>
          <w:i/>
          <w:iCs/>
          <w:sz w:val="22"/>
          <w:szCs w:val="22"/>
        </w:rPr>
        <w:t>гигиены</w:t>
      </w:r>
      <w:r>
        <w:rPr>
          <w:b/>
          <w:bCs/>
          <w:i/>
          <w:iCs/>
          <w:spacing w:val="-7"/>
          <w:sz w:val="22"/>
          <w:szCs w:val="22"/>
        </w:rPr>
        <w:t xml:space="preserve"> </w:t>
      </w:r>
      <w:r>
        <w:rPr>
          <w:b/>
          <w:bCs/>
          <w:i/>
          <w:iCs/>
          <w:sz w:val="22"/>
          <w:szCs w:val="22"/>
        </w:rPr>
        <w:t>и</w:t>
      </w:r>
      <w:r>
        <w:rPr>
          <w:b/>
          <w:bCs/>
          <w:i/>
          <w:iCs/>
          <w:spacing w:val="-2"/>
          <w:sz w:val="22"/>
          <w:szCs w:val="22"/>
        </w:rPr>
        <w:t xml:space="preserve"> эпидемиологии </w:t>
      </w:r>
      <w:r>
        <w:rPr>
          <w:b/>
          <w:bCs/>
          <w:i/>
          <w:iCs/>
          <w:sz w:val="22"/>
          <w:szCs w:val="22"/>
        </w:rPr>
        <w:t>в</w:t>
      </w:r>
      <w:r>
        <w:rPr>
          <w:b/>
          <w:bCs/>
          <w:i/>
          <w:iCs/>
          <w:spacing w:val="-7"/>
          <w:sz w:val="22"/>
          <w:szCs w:val="22"/>
        </w:rPr>
        <w:t xml:space="preserve"> </w:t>
      </w:r>
      <w:r>
        <w:rPr>
          <w:b/>
          <w:bCs/>
          <w:i/>
          <w:iCs/>
          <w:sz w:val="22"/>
          <w:szCs w:val="22"/>
        </w:rPr>
        <w:t>Республике</w:t>
      </w:r>
      <w:r>
        <w:rPr>
          <w:b/>
          <w:bCs/>
          <w:i/>
          <w:iCs/>
          <w:spacing w:val="-5"/>
          <w:sz w:val="22"/>
          <w:szCs w:val="22"/>
        </w:rPr>
        <w:t xml:space="preserve"> </w:t>
      </w:r>
      <w:r>
        <w:rPr>
          <w:b/>
          <w:bCs/>
          <w:i/>
          <w:iCs/>
          <w:sz w:val="22"/>
          <w:szCs w:val="22"/>
        </w:rPr>
        <w:t>Татарстан</w:t>
      </w:r>
      <w:r>
        <w:rPr>
          <w:b/>
          <w:bCs/>
          <w:i/>
          <w:iCs/>
          <w:spacing w:val="-5"/>
          <w:sz w:val="22"/>
          <w:szCs w:val="22"/>
        </w:rPr>
        <w:t xml:space="preserve"> </w:t>
      </w:r>
      <w:r>
        <w:rPr>
          <w:b/>
          <w:bCs/>
          <w:i/>
          <w:iCs/>
          <w:spacing w:val="-2"/>
          <w:sz w:val="22"/>
          <w:szCs w:val="22"/>
        </w:rPr>
        <w:t xml:space="preserve">(Татарстан)»     </w:t>
      </w:r>
    </w:p>
    <w:p>
      <w:pPr>
        <w:pStyle w:val="Style15"/>
        <w:bidi w:val="0"/>
        <w:spacing w:lineRule="auto" w:line="240" w:before="0" w:after="0"/>
        <w:ind w:left="0" w:right="0" w:hanging="0"/>
        <w:contextualSpacing/>
        <w:jc w:val="right"/>
        <w:rPr>
          <w:b/>
          <w:bCs/>
          <w:i/>
          <w:i/>
          <w:iCs/>
          <w:sz w:val="22"/>
          <w:szCs w:val="22"/>
        </w:rPr>
      </w:pPr>
      <w:r>
        <w:rPr>
          <w:rFonts w:ascii="Times New Roman" w:hAnsi="Times New Roman"/>
          <w:b/>
          <w:bCs/>
          <w:i/>
          <w:iCs/>
          <w:spacing w:val="-2"/>
          <w:sz w:val="22"/>
          <w:szCs w:val="22"/>
        </w:rPr>
        <w:t>8 (8552) 46-41-52</w:t>
      </w:r>
      <w:bookmarkStart w:id="1" w:name="_GoBack_Копия_1"/>
      <w:bookmarkEnd w:id="1"/>
      <w:r>
        <w:rPr>
          <w:rFonts w:ascii="Times New Roman" w:hAnsi="Times New Roman"/>
          <w:b/>
          <w:bCs/>
          <w:i/>
          <w:iCs/>
          <w:spacing w:val="-2"/>
          <w:sz w:val="22"/>
          <w:szCs w:val="22"/>
        </w:rPr>
        <w:t xml:space="preserve"> г.Набережные Челны, ул. Низаметдинова, 14.      </w:t>
      </w:r>
    </w:p>
    <w:sectPr>
      <w:type w:val="nextPage"/>
      <w:pgSz w:w="11906" w:h="16838"/>
      <w:pgMar w:left="850"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6ed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TableParagraph">
    <w:name w:val="Table Paragraph"/>
    <w:basedOn w:val="Normal"/>
    <w:qFormat/>
    <w:pPr>
      <w:ind w:left="99" w:right="0" w:hanging="0"/>
      <w:jc w:val="center"/>
    </w:pPr>
    <w:rPr>
      <w:rFonts w:ascii="Times New Roman" w:hAnsi="Times New Roman" w:eastAsia="Times New Roman" w:cs="Times New Roman"/>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LibreOffice/7.5.6.2$Linux_X86_64 LibreOffice_project/50$Build-2</Application>
  <AppVersion>15.0000</AppVersion>
  <Pages>1</Pages>
  <Words>255</Words>
  <Characters>1683</Characters>
  <CharactersWithSpaces>1944</CharactersWithSpaces>
  <Paragraphs>13</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2022-03-10T05:58:00Z</dcterms:created>
  <dc:creator>filippova-ma</dc:creator>
  <dc:description/>
  <dc:language>ru-RU</dc:language>
  <cp:lastModifiedBy/>
  <dcterms:modified xsi:type="dcterms:W3CDTF">2026-05-15T16:41:31Z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